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CD971" w14:textId="77777777" w:rsidR="0003532B" w:rsidRDefault="0003532B" w:rsidP="00F00085">
      <w:pPr>
        <w:pStyle w:val="Title"/>
        <w:spacing w:before="130" w:line="260" w:lineRule="exact"/>
        <w:ind w:firstLine="539"/>
        <w:rPr>
          <w:b/>
          <w:bCs/>
          <w:sz w:val="24"/>
          <w:szCs w:val="24"/>
          <w:lang w:eastAsia="lv-LV"/>
        </w:rPr>
        <w:sectPr w:rsidR="0003532B" w:rsidSect="00AD20D8">
          <w:headerReference w:type="default" r:id="rId8"/>
          <w:footerReference w:type="default" r:id="rId9"/>
          <w:footerReference w:type="first" r:id="rId10"/>
          <w:type w:val="continuous"/>
          <w:pgSz w:w="11906" w:h="16838"/>
          <w:pgMar w:top="1134" w:right="1134" w:bottom="1134" w:left="1701" w:header="709" w:footer="454" w:gutter="0"/>
          <w:cols w:space="708"/>
          <w:titlePg/>
          <w:docGrid w:linePitch="360"/>
        </w:sectPr>
      </w:pPr>
    </w:p>
    <w:p w14:paraId="4774A7CD" w14:textId="0B0DCE37" w:rsidR="00BF66D6" w:rsidRPr="00094CE5" w:rsidRDefault="00BF66D6" w:rsidP="00F00085">
      <w:pPr>
        <w:pStyle w:val="Title"/>
        <w:spacing w:before="130" w:line="260" w:lineRule="exact"/>
        <w:ind w:firstLine="539"/>
        <w:rPr>
          <w:b/>
          <w:bCs/>
          <w:szCs w:val="28"/>
          <w:lang w:eastAsia="lv-LV"/>
        </w:rPr>
      </w:pPr>
      <w:r w:rsidRPr="00094CE5">
        <w:rPr>
          <w:b/>
          <w:bCs/>
          <w:szCs w:val="28"/>
          <w:lang w:eastAsia="lv-LV"/>
        </w:rPr>
        <w:t>Likumprojekta “Grozījumi Pievienotās vērtības nodokļa likumā” sākotnējās ietekmes novērtējuma ziņojums (anotācija)</w:t>
      </w:r>
    </w:p>
    <w:p w14:paraId="00F83DD7" w14:textId="03DEA7D2" w:rsidR="00446CC3" w:rsidRPr="000C4C70" w:rsidRDefault="00446CC3" w:rsidP="00BD5588">
      <w:pPr>
        <w:pStyle w:val="Title"/>
        <w:spacing w:before="130" w:line="260" w:lineRule="exact"/>
        <w:ind w:firstLine="539"/>
        <w:jc w:val="both"/>
        <w:rPr>
          <w:sz w:val="24"/>
          <w:szCs w:val="24"/>
        </w:rPr>
      </w:pPr>
    </w:p>
    <w:p w14:paraId="56114D73" w14:textId="77777777" w:rsidR="002A3FAE" w:rsidRPr="000C4C70" w:rsidRDefault="002A3FAE" w:rsidP="00C4494C">
      <w:pPr>
        <w:jc w:val="center"/>
        <w:rPr>
          <w:b/>
          <w:iCs/>
          <w:lang w:eastAsia="en-US"/>
        </w:rPr>
        <w:sectPr w:rsidR="002A3FAE" w:rsidRPr="000C4C70" w:rsidSect="005C435D">
          <w:type w:val="continuous"/>
          <w:pgSz w:w="11906" w:h="16838"/>
          <w:pgMar w:top="851" w:right="1800" w:bottom="568" w:left="1800" w:header="708" w:footer="454" w:gutter="0"/>
          <w:cols w:space="708"/>
          <w:titlePg/>
          <w:docGrid w:linePitch="360"/>
        </w:sect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8" w:type="dxa"/>
          <w:left w:w="28" w:type="dxa"/>
          <w:bottom w:w="28" w:type="dxa"/>
          <w:right w:w="28" w:type="dxa"/>
        </w:tblCellMar>
        <w:tblLook w:val="04A0" w:firstRow="1" w:lastRow="0" w:firstColumn="1" w:lastColumn="0" w:noHBand="0" w:noVBand="1"/>
      </w:tblPr>
      <w:tblGrid>
        <w:gridCol w:w="2118"/>
        <w:gridCol w:w="7233"/>
      </w:tblGrid>
      <w:tr w:rsidR="000C4C70" w:rsidRPr="000C4C70" w14:paraId="45CE2879" w14:textId="77777777" w:rsidTr="00466AA2">
        <w:trPr>
          <w:cantSplit/>
          <w:trHeight w:val="260"/>
        </w:trPr>
        <w:tc>
          <w:tcPr>
            <w:tcW w:w="9351" w:type="dxa"/>
            <w:gridSpan w:val="2"/>
            <w:shd w:val="clear" w:color="auto" w:fill="FFFFFF"/>
            <w:vAlign w:val="center"/>
            <w:hideMark/>
          </w:tcPr>
          <w:p w14:paraId="61564627" w14:textId="427322F8" w:rsidR="00C4494C" w:rsidRPr="000C4C70" w:rsidRDefault="00BD5588" w:rsidP="00C4494C">
            <w:pPr>
              <w:jc w:val="center"/>
              <w:rPr>
                <w:b/>
                <w:iCs/>
                <w:lang w:eastAsia="en-US"/>
              </w:rPr>
            </w:pPr>
            <w:r w:rsidRPr="000C4C70">
              <w:rPr>
                <w:b/>
                <w:iCs/>
                <w:lang w:eastAsia="en-US"/>
              </w:rPr>
              <w:t>Tiesību akta projekta anotācijas kopsavilkums</w:t>
            </w:r>
          </w:p>
        </w:tc>
      </w:tr>
      <w:tr w:rsidR="000C4C70" w:rsidRPr="000C4C70" w14:paraId="27F11016" w14:textId="77777777" w:rsidTr="00466AA2">
        <w:trPr>
          <w:cantSplit/>
          <w:trHeight w:val="2123"/>
        </w:trPr>
        <w:tc>
          <w:tcPr>
            <w:tcW w:w="2118" w:type="dxa"/>
            <w:shd w:val="clear" w:color="auto" w:fill="FFFFFF"/>
            <w:hideMark/>
          </w:tcPr>
          <w:p w14:paraId="10F38FCA" w14:textId="05C5BBD5" w:rsidR="00BA46AA" w:rsidRPr="000C4C70" w:rsidRDefault="00BD5588" w:rsidP="00122EEB">
            <w:pPr>
              <w:rPr>
                <w:iCs/>
                <w:lang w:eastAsia="en-US"/>
              </w:rPr>
            </w:pPr>
            <w:r w:rsidRPr="000C4C70">
              <w:rPr>
                <w:iCs/>
                <w:lang w:eastAsia="en-US"/>
              </w:rPr>
              <w:t>Mērķis, risinājums un projekta spēkā stāšanās laiks (500 zīmes bez atstarpēm)</w:t>
            </w:r>
          </w:p>
        </w:tc>
        <w:tc>
          <w:tcPr>
            <w:tcW w:w="7233" w:type="dxa"/>
            <w:shd w:val="clear" w:color="auto" w:fill="FFFFFF"/>
            <w:hideMark/>
          </w:tcPr>
          <w:p w14:paraId="2E38E9E4" w14:textId="102BB54C" w:rsidR="00416E17" w:rsidRDefault="005E2E0D" w:rsidP="00466AA2">
            <w:pPr>
              <w:ind w:left="124" w:right="109" w:firstLine="284"/>
              <w:jc w:val="both"/>
              <w:rPr>
                <w:iCs/>
                <w:lang w:eastAsia="en-US"/>
              </w:rPr>
            </w:pPr>
            <w:r w:rsidRPr="00267F31">
              <w:t xml:space="preserve">Likumprojekta “Grozījumi Pievienotās vērtības nodokļa likumā” (turpmāk – likumprojekts) </w:t>
            </w:r>
            <w:r w:rsidR="0063563A" w:rsidRPr="00267F31">
              <w:rPr>
                <w:iCs/>
                <w:lang w:eastAsia="en-US"/>
              </w:rPr>
              <w:t xml:space="preserve">mērķis </w:t>
            </w:r>
            <w:r w:rsidR="00E91443" w:rsidRPr="00267F31">
              <w:rPr>
                <w:iCs/>
                <w:lang w:eastAsia="en-US"/>
              </w:rPr>
              <w:t>ir</w:t>
            </w:r>
            <w:r w:rsidR="00164CCB">
              <w:rPr>
                <w:iCs/>
                <w:lang w:eastAsia="en-US"/>
              </w:rPr>
              <w:t xml:space="preserve"> precizēt pievienotās vērtības nodokļa (turpmāk – PVN) </w:t>
            </w:r>
            <w:r w:rsidR="00AA2ACC">
              <w:rPr>
                <w:iCs/>
                <w:lang w:eastAsia="en-US"/>
              </w:rPr>
              <w:t>regulējumu, lai vienkāršotu PVN piemērošanu,</w:t>
            </w:r>
            <w:proofErr w:type="gramStart"/>
            <w:r w:rsidR="00AA2ACC">
              <w:rPr>
                <w:iCs/>
                <w:lang w:eastAsia="en-US"/>
              </w:rPr>
              <w:t xml:space="preserve">  </w:t>
            </w:r>
            <w:proofErr w:type="gramEnd"/>
            <w:r w:rsidR="00AA2ACC">
              <w:rPr>
                <w:iCs/>
                <w:lang w:eastAsia="en-US"/>
              </w:rPr>
              <w:t>samazinātu administratīvo slogu un izmaksas, novērstu interpretācijas iespējas, saskaņotu PVN regulējumu ar citos normatīvajos aktos pieņemtu regulējumu un veicinātu PVN sistēmas darbību, atgriežot nodokļu m</w:t>
            </w:r>
            <w:r w:rsidR="0036628E">
              <w:rPr>
                <w:iCs/>
                <w:lang w:eastAsia="en-US"/>
              </w:rPr>
              <w:t xml:space="preserve">aksātājiem pārmaksāto PVN summu, </w:t>
            </w:r>
            <w:r w:rsidR="0036628E" w:rsidRPr="006106CF">
              <w:rPr>
                <w:iCs/>
                <w:lang w:eastAsia="en-US"/>
              </w:rPr>
              <w:t>kā arī</w:t>
            </w:r>
            <w:r w:rsidR="00C51FDD" w:rsidRPr="006106CF">
              <w:rPr>
                <w:iCs/>
                <w:lang w:eastAsia="en-US"/>
              </w:rPr>
              <w:t>,</w:t>
            </w:r>
            <w:r w:rsidR="0036628E" w:rsidRPr="006106CF">
              <w:rPr>
                <w:iCs/>
                <w:lang w:eastAsia="en-US"/>
              </w:rPr>
              <w:t xml:space="preserve"> saglabā</w:t>
            </w:r>
            <w:r w:rsidR="00C51FDD" w:rsidRPr="006106CF">
              <w:rPr>
                <w:iCs/>
                <w:lang w:eastAsia="en-US"/>
              </w:rPr>
              <w:t>jot</w:t>
            </w:r>
            <w:r w:rsidR="0036628E" w:rsidRPr="006106CF">
              <w:rPr>
                <w:iCs/>
                <w:lang w:eastAsia="en-US"/>
              </w:rPr>
              <w:t xml:space="preserve"> līdz 2023.gada 31.</w:t>
            </w:r>
            <w:r w:rsidR="00005EE0" w:rsidRPr="006106CF">
              <w:rPr>
                <w:iCs/>
                <w:lang w:eastAsia="en-US"/>
              </w:rPr>
              <w:t>decembrim PVN samazinātu likmi piecu</w:t>
            </w:r>
            <w:r w:rsidR="0036628E" w:rsidRPr="006106CF">
              <w:rPr>
                <w:iCs/>
                <w:lang w:eastAsia="en-US"/>
              </w:rPr>
              <w:t xml:space="preserve"> procentu apmērā  </w:t>
            </w:r>
            <w:r w:rsidR="00730C5C" w:rsidRPr="006106CF">
              <w:rPr>
                <w:iCs/>
                <w:lang w:eastAsia="en-US"/>
              </w:rPr>
              <w:t xml:space="preserve">svaigiem </w:t>
            </w:r>
            <w:r w:rsidR="0036628E" w:rsidRPr="006106CF">
              <w:rPr>
                <w:rFonts w:eastAsia="Calibri"/>
                <w:lang w:eastAsia="en-US"/>
              </w:rPr>
              <w:t>augļiem, ogām un dārzeņiem</w:t>
            </w:r>
            <w:r w:rsidR="0051514A" w:rsidRPr="006106CF">
              <w:rPr>
                <w:rFonts w:eastAsia="Calibri"/>
                <w:lang w:eastAsia="en-US"/>
              </w:rPr>
              <w:t xml:space="preserve">, </w:t>
            </w:r>
            <w:r w:rsidR="0051514A" w:rsidRPr="006106CF">
              <w:t>ve</w:t>
            </w:r>
            <w:r w:rsidR="0051514A">
              <w:t>icināt augļkopības un dārzeņkopības nozaru attīstību</w:t>
            </w:r>
            <w:r w:rsidR="003F0723">
              <w:t>,</w:t>
            </w:r>
            <w:r w:rsidR="0051514A">
              <w:t xml:space="preserve"> mazin</w:t>
            </w:r>
            <w:r w:rsidR="003F0723">
              <w:t>āt</w:t>
            </w:r>
            <w:r w:rsidR="0051514A">
              <w:t xml:space="preserve"> ēnu ekonomiku</w:t>
            </w:r>
            <w:r w:rsidR="003F0723">
              <w:t>,</w:t>
            </w:r>
            <w:r w:rsidR="0051514A">
              <w:t xml:space="preserve"> palielin</w:t>
            </w:r>
            <w:r w:rsidR="003F0723">
              <w:t>ā</w:t>
            </w:r>
            <w:r w:rsidR="0051514A">
              <w:t>t legālajā tirgū darbojošos komersantu konkurētspēju</w:t>
            </w:r>
            <w:r w:rsidR="003F0723">
              <w:t>,</w:t>
            </w:r>
            <w:r w:rsidR="0051514A">
              <w:t xml:space="preserve"> </w:t>
            </w:r>
            <w:r w:rsidR="003F0723">
              <w:t xml:space="preserve">kā arī veicināt </w:t>
            </w:r>
            <w:r w:rsidR="0051514A">
              <w:t>svaigu augļu, ogu un dārzeņu patēriņu</w:t>
            </w:r>
            <w:r w:rsidR="0036628E" w:rsidRPr="006106CF">
              <w:rPr>
                <w:rFonts w:eastAsia="Calibri"/>
                <w:lang w:eastAsia="en-US"/>
              </w:rPr>
              <w:t>.</w:t>
            </w:r>
            <w:r w:rsidR="00AA2ACC">
              <w:rPr>
                <w:iCs/>
                <w:lang w:eastAsia="en-US"/>
              </w:rPr>
              <w:t xml:space="preserve"> </w:t>
            </w:r>
          </w:p>
          <w:p w14:paraId="5767A16B" w14:textId="7FEFD12F" w:rsidR="00980180" w:rsidRPr="00267F31" w:rsidRDefault="00D21BDB" w:rsidP="00466AA2">
            <w:pPr>
              <w:ind w:left="124" w:right="109" w:firstLine="284"/>
              <w:jc w:val="both"/>
              <w:rPr>
                <w:iCs/>
                <w:lang w:eastAsia="en-US"/>
              </w:rPr>
            </w:pPr>
            <w:r w:rsidRPr="00267F31">
              <w:t xml:space="preserve">Likumprojekts stājas spēkā </w:t>
            </w:r>
            <w:proofErr w:type="gramStart"/>
            <w:r w:rsidRPr="00267F31">
              <w:t>2021.gada</w:t>
            </w:r>
            <w:proofErr w:type="gramEnd"/>
            <w:r w:rsidRPr="00267F31">
              <w:t xml:space="preserve"> 1.janvārī.</w:t>
            </w:r>
          </w:p>
        </w:tc>
      </w:tr>
    </w:tbl>
    <w:p w14:paraId="1D3E2D75" w14:textId="35790AF2" w:rsidR="002A3FAE" w:rsidRPr="000C4C70" w:rsidRDefault="002A3FAE" w:rsidP="0016477B">
      <w:pPr>
        <w:rPr>
          <w:b/>
          <w:bCs/>
        </w:rPr>
        <w:sectPr w:rsidR="002A3FAE" w:rsidRPr="000C4C70" w:rsidSect="00CB284F">
          <w:type w:val="continuous"/>
          <w:pgSz w:w="11906" w:h="16838"/>
          <w:pgMar w:top="851" w:right="1800" w:bottom="568" w:left="1800" w:header="708" w:footer="708" w:gutter="0"/>
          <w:cols w:space="708"/>
          <w:titlePg/>
          <w:docGrid w:linePitch="360"/>
        </w:sectPr>
      </w:pPr>
    </w:p>
    <w:tbl>
      <w:tblPr>
        <w:tblpPr w:leftFromText="180" w:rightFromText="180" w:vertAnchor="text" w:horzAnchor="margin" w:tblpY="106"/>
        <w:tblW w:w="50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40"/>
        <w:gridCol w:w="1793"/>
        <w:gridCol w:w="7451"/>
      </w:tblGrid>
      <w:tr w:rsidR="000C4C70" w:rsidRPr="000C4C70" w14:paraId="0216C17F" w14:textId="77777777" w:rsidTr="002E62DC">
        <w:trPr>
          <w:cantSplit/>
        </w:trPr>
        <w:tc>
          <w:tcPr>
            <w:tcW w:w="5000" w:type="pct"/>
            <w:gridSpan w:val="3"/>
          </w:tcPr>
          <w:p w14:paraId="70E4517B" w14:textId="77777777" w:rsidR="0016477B" w:rsidRPr="000C4C70" w:rsidRDefault="0016477B" w:rsidP="0016477B">
            <w:pPr>
              <w:jc w:val="center"/>
            </w:pPr>
            <w:r w:rsidRPr="000C4C70">
              <w:rPr>
                <w:b/>
                <w:bCs/>
              </w:rPr>
              <w:t>I. Tiesību akta projekta izstrādes nepieciešamība</w:t>
            </w:r>
          </w:p>
        </w:tc>
      </w:tr>
      <w:tr w:rsidR="000C4C70" w:rsidRPr="000C4C70" w14:paraId="76BBD08F" w14:textId="77777777" w:rsidTr="002E62DC">
        <w:trPr>
          <w:cantSplit/>
        </w:trPr>
        <w:tc>
          <w:tcPr>
            <w:tcW w:w="350" w:type="pct"/>
            <w:hideMark/>
          </w:tcPr>
          <w:p w14:paraId="3E09DAB6" w14:textId="77777777" w:rsidR="0016477B" w:rsidRPr="000C4C70" w:rsidRDefault="0016477B" w:rsidP="0016477B">
            <w:pPr>
              <w:jc w:val="both"/>
            </w:pPr>
            <w:r w:rsidRPr="000C4C70">
              <w:t>1.</w:t>
            </w:r>
          </w:p>
        </w:tc>
        <w:tc>
          <w:tcPr>
            <w:tcW w:w="999" w:type="pct"/>
            <w:hideMark/>
          </w:tcPr>
          <w:p w14:paraId="1B184D17" w14:textId="77777777" w:rsidR="0016477B" w:rsidRPr="000C4C70" w:rsidRDefault="0016477B" w:rsidP="0016477B">
            <w:pPr>
              <w:jc w:val="both"/>
            </w:pPr>
            <w:r w:rsidRPr="000C4C70">
              <w:t>Pamatojums</w:t>
            </w:r>
          </w:p>
          <w:p w14:paraId="0E523517" w14:textId="77777777" w:rsidR="0016477B" w:rsidRPr="000C4C70" w:rsidRDefault="0016477B" w:rsidP="0016477B">
            <w:pPr>
              <w:jc w:val="both"/>
            </w:pPr>
          </w:p>
          <w:p w14:paraId="02CB5CA5" w14:textId="77777777" w:rsidR="0016477B" w:rsidRPr="000C4C70" w:rsidRDefault="0016477B" w:rsidP="0016477B">
            <w:pPr>
              <w:jc w:val="both"/>
            </w:pPr>
          </w:p>
          <w:p w14:paraId="4EADDCA3" w14:textId="77777777" w:rsidR="0016477B" w:rsidRPr="000C4C70" w:rsidRDefault="0016477B" w:rsidP="0016477B">
            <w:pPr>
              <w:jc w:val="both"/>
            </w:pPr>
          </w:p>
          <w:p w14:paraId="7EF649FB" w14:textId="77777777" w:rsidR="0016477B" w:rsidRPr="000C4C70" w:rsidRDefault="0016477B" w:rsidP="0016477B">
            <w:pPr>
              <w:jc w:val="both"/>
            </w:pPr>
          </w:p>
          <w:p w14:paraId="49812130" w14:textId="77777777" w:rsidR="0016477B" w:rsidRPr="000C4C70" w:rsidRDefault="0016477B" w:rsidP="0016477B">
            <w:pPr>
              <w:jc w:val="both"/>
            </w:pPr>
          </w:p>
        </w:tc>
        <w:tc>
          <w:tcPr>
            <w:tcW w:w="3651" w:type="pct"/>
            <w:hideMark/>
          </w:tcPr>
          <w:p w14:paraId="146B0649" w14:textId="022AEACA" w:rsidR="00AE2FEE" w:rsidRPr="006E20EC" w:rsidRDefault="00AE2FEE" w:rsidP="006E20EC">
            <w:pPr>
              <w:ind w:left="138" w:right="109"/>
              <w:jc w:val="both"/>
            </w:pPr>
            <w:r w:rsidRPr="006E20EC">
              <w:t xml:space="preserve">Saskaņā ar Ministru kabineta </w:t>
            </w:r>
            <w:proofErr w:type="gramStart"/>
            <w:r w:rsidRPr="006E20EC">
              <w:t>2020.gada</w:t>
            </w:r>
            <w:proofErr w:type="gramEnd"/>
            <w:r w:rsidRPr="006E20EC">
              <w:t xml:space="preserve"> 2</w:t>
            </w:r>
            <w:r w:rsidR="00700FD8">
              <w:t>.septembra sēdes protokola Nr.51, 45.</w:t>
            </w:r>
            <w:r w:rsidRPr="006E20EC">
              <w:t xml:space="preserve">§ </w:t>
            </w:r>
            <w:r w:rsidR="00700FD8">
              <w:t>2.2.10</w:t>
            </w:r>
            <w:r w:rsidR="006E20EC">
              <w:t>.apakšpunktu</w:t>
            </w:r>
            <w:r w:rsidR="006E20EC" w:rsidRPr="006E20EC">
              <w:t xml:space="preserve"> Finanšu ministrijai </w:t>
            </w:r>
            <w:r w:rsidR="006E20EC" w:rsidRPr="00E22DA9">
              <w:t xml:space="preserve">kopā ar </w:t>
            </w:r>
            <w:r w:rsidR="006E20EC" w:rsidRPr="00700FD8">
              <w:t>likumprojektu "Par vidēja termiņa budžeta ietvaru 2021., 2022. un 2023.gadam" un likumprojekta "Par valsts budžetu 2021. gadam" ir uzdots kā Ministru kabineta lietu iesniegt Ministru kabinetā Pievienotās vērtības nodokļa likuma (turpmāk – PVN likums) grozījumus</w:t>
            </w:r>
            <w:r w:rsidR="006E20EC" w:rsidRPr="00700FD8">
              <w:rPr>
                <w:iCs/>
              </w:rPr>
              <w:t xml:space="preserve">, lai </w:t>
            </w:r>
            <w:r w:rsidR="006E20EC" w:rsidRPr="00700FD8">
              <w:t>no 2021.gada arī turpmāk saglabātu Covid-19 izraisītās krīzes laikā noteikto 30 dienu termiņu PVN pārmaksas izvērtēšanai un atmaksai, tādējādi veicinot savlaicīgu naudas līdzekļu atgriešanu PVN maksātājiem.</w:t>
            </w:r>
            <w:r w:rsidR="006E20EC" w:rsidRPr="006E20EC">
              <w:t xml:space="preserve"> </w:t>
            </w:r>
          </w:p>
          <w:p w14:paraId="79E303C7" w14:textId="62D2F2C0" w:rsidR="0016477B" w:rsidRPr="000C4C70" w:rsidRDefault="004E2838" w:rsidP="00466AA2">
            <w:pPr>
              <w:ind w:left="138" w:right="109"/>
              <w:jc w:val="both"/>
            </w:pPr>
            <w:r>
              <w:t xml:space="preserve">Lai </w:t>
            </w:r>
            <w:r w:rsidRPr="00833B16">
              <w:t>samazināt</w:t>
            </w:r>
            <w:r>
              <w:t>u</w:t>
            </w:r>
            <w:r w:rsidRPr="00833B16">
              <w:t xml:space="preserve"> administratīvo slogu </w:t>
            </w:r>
            <w:r>
              <w:t xml:space="preserve">nodokļu maksātājiem (t.sk. izmaksas) </w:t>
            </w:r>
            <w:r w:rsidRPr="00833B16">
              <w:t xml:space="preserve">un </w:t>
            </w:r>
            <w:r>
              <w:t xml:space="preserve">vienlaikus efektivizētu </w:t>
            </w:r>
            <w:r w:rsidRPr="00240196">
              <w:t>Valsts ieņēmumu dienesta (turpmāk – VID)</w:t>
            </w:r>
            <w:r>
              <w:t xml:space="preserve"> </w:t>
            </w:r>
            <w:r w:rsidRPr="00833B16">
              <w:t>izmaksas</w:t>
            </w:r>
            <w:r>
              <w:t xml:space="preserve">, ar </w:t>
            </w:r>
            <w:r w:rsidR="006E20EC">
              <w:t>l</w:t>
            </w:r>
            <w:r w:rsidR="0016477B" w:rsidRPr="000C4C70">
              <w:t>ikumprojekt</w:t>
            </w:r>
            <w:r>
              <w:t>u</w:t>
            </w:r>
            <w:r w:rsidR="00412936" w:rsidRPr="000C4C70">
              <w:t xml:space="preserve"> </w:t>
            </w:r>
            <w:r w:rsidR="0016477B" w:rsidRPr="000C4C70">
              <w:t>ir</w:t>
            </w:r>
            <w:r w:rsidR="00700FD8">
              <w:t xml:space="preserve"> </w:t>
            </w:r>
            <w:r>
              <w:t>paredzēts arī:</w:t>
            </w:r>
          </w:p>
          <w:p w14:paraId="1F7E1EBF" w14:textId="6FEF71AE" w:rsidR="000C4C70" w:rsidRPr="000C4C70" w:rsidRDefault="004E2838" w:rsidP="00466AA2">
            <w:pPr>
              <w:pStyle w:val="ListParagraph"/>
              <w:numPr>
                <w:ilvl w:val="0"/>
                <w:numId w:val="5"/>
              </w:numPr>
              <w:ind w:right="109"/>
              <w:jc w:val="both"/>
            </w:pPr>
            <w:r>
              <w:t xml:space="preserve">atbilstoši </w:t>
            </w:r>
            <w:r w:rsidR="000C4C70" w:rsidRPr="000C4C70">
              <w:t>Valsts kontroles ieteikum</w:t>
            </w:r>
            <w:r>
              <w:t>am</w:t>
            </w:r>
            <w:r w:rsidR="000C4C70" w:rsidRPr="000C4C70">
              <w:t xml:space="preserve"> noteikt vienu veidu, kādā PVN maksātājam tiek paziņots lēmums par tā reģistrāciju </w:t>
            </w:r>
            <w:r w:rsidR="00700FD8">
              <w:t xml:space="preserve">VID </w:t>
            </w:r>
            <w:r w:rsidR="000C4C70" w:rsidRPr="000C4C70">
              <w:t>PVN maksātāju reģistrā;</w:t>
            </w:r>
          </w:p>
          <w:p w14:paraId="446E5197" w14:textId="2880763F" w:rsidR="000C4C70" w:rsidRDefault="000C4C70" w:rsidP="00466AA2">
            <w:pPr>
              <w:pStyle w:val="ListParagraph"/>
              <w:numPr>
                <w:ilvl w:val="0"/>
                <w:numId w:val="5"/>
              </w:numPr>
              <w:ind w:right="109"/>
              <w:jc w:val="both"/>
            </w:pPr>
            <w:r w:rsidRPr="000C4C70">
              <w:t xml:space="preserve">saskaņot </w:t>
            </w:r>
            <w:r w:rsidR="00700FD8">
              <w:t>PVN</w:t>
            </w:r>
            <w:r w:rsidRPr="000C4C70">
              <w:t xml:space="preserve"> likuma regulējumu ar likumprojektu “Grozījumi likumā “Par nodokļiem un nodevām”, kas </w:t>
            </w:r>
            <w:proofErr w:type="gramStart"/>
            <w:r w:rsidRPr="000C4C70">
              <w:t>2020.gada</w:t>
            </w:r>
            <w:proofErr w:type="gramEnd"/>
            <w:r w:rsidRPr="000C4C70">
              <w:t xml:space="preserve"> </w:t>
            </w:r>
            <w:r>
              <w:t>20.februārī</w:t>
            </w:r>
            <w:r w:rsidRPr="000C4C70">
              <w:t xml:space="preserve"> izskatīts Saeimā </w:t>
            </w:r>
            <w:r>
              <w:t>2</w:t>
            </w:r>
            <w:r w:rsidRPr="000C4C70">
              <w:t>.lasījumā</w:t>
            </w:r>
            <w:r w:rsidR="004204BC">
              <w:t>;</w:t>
            </w:r>
          </w:p>
          <w:p w14:paraId="2A76D697" w14:textId="23365292" w:rsidR="004204BC" w:rsidRPr="00267F31" w:rsidRDefault="0063135E" w:rsidP="00466AA2">
            <w:pPr>
              <w:pStyle w:val="ListParagraph"/>
              <w:numPr>
                <w:ilvl w:val="0"/>
                <w:numId w:val="5"/>
              </w:numPr>
              <w:ind w:right="109"/>
              <w:jc w:val="both"/>
            </w:pPr>
            <w:r>
              <w:t xml:space="preserve">pilnveidot PVN pārmaksas atmaksas kārtību, ievērojot Latvijas Republikas Satversmes tiesas spriedumā lietā Nr.2017-12-01 un </w:t>
            </w:r>
            <w:r w:rsidRPr="00C60879">
              <w:rPr>
                <w:iCs/>
                <w:lang w:eastAsia="en-US"/>
              </w:rPr>
              <w:t>Augstākās tiesas Administratīvo lietu departamenta spriedum</w:t>
            </w:r>
            <w:r>
              <w:rPr>
                <w:iCs/>
                <w:lang w:eastAsia="en-US"/>
              </w:rPr>
              <w:t>ā</w:t>
            </w:r>
            <w:r w:rsidRPr="00C60879">
              <w:rPr>
                <w:iCs/>
                <w:lang w:eastAsia="en-US"/>
              </w:rPr>
              <w:t xml:space="preserve"> lietā Nr.SKA-95/2015 nolemt</w:t>
            </w:r>
            <w:r>
              <w:rPr>
                <w:iCs/>
                <w:lang w:eastAsia="en-US"/>
              </w:rPr>
              <w:t>o</w:t>
            </w:r>
            <w:r>
              <w:t xml:space="preserve"> attiecībā uz PVN pārmaksas atmaksas regularitāti</w:t>
            </w:r>
            <w:r w:rsidR="00456E70">
              <w:t>;</w:t>
            </w:r>
          </w:p>
          <w:p w14:paraId="63C3440B" w14:textId="760A773D" w:rsidR="003D5965" w:rsidRPr="0078009F" w:rsidRDefault="003D5965" w:rsidP="00466AA2">
            <w:pPr>
              <w:pStyle w:val="ListParagraph"/>
              <w:numPr>
                <w:ilvl w:val="0"/>
                <w:numId w:val="5"/>
              </w:numPr>
              <w:ind w:right="109"/>
              <w:jc w:val="both"/>
            </w:pPr>
            <w:r>
              <w:rPr>
                <w:iCs/>
                <w:lang w:eastAsia="en-US"/>
              </w:rPr>
              <w:t xml:space="preserve">saskaņot PVN likuma regulējumu ar </w:t>
            </w:r>
            <w:r w:rsidR="007D1DAC">
              <w:rPr>
                <w:iCs/>
                <w:lang w:eastAsia="en-US"/>
              </w:rPr>
              <w:t>grozījumiem Iepakojuma likumā, ar kuriem ievieš obligāto depozīta sistēmu atkārtoti lietojamam un vienreiz lietojamam iepakojumam;</w:t>
            </w:r>
          </w:p>
          <w:p w14:paraId="28D94D28" w14:textId="0A8D54F3" w:rsidR="0078009F" w:rsidRPr="00267F31" w:rsidRDefault="0078009F" w:rsidP="00466AA2">
            <w:pPr>
              <w:pStyle w:val="ListParagraph"/>
              <w:numPr>
                <w:ilvl w:val="0"/>
                <w:numId w:val="5"/>
              </w:numPr>
              <w:ind w:right="109"/>
              <w:jc w:val="both"/>
            </w:pPr>
            <w:r>
              <w:rPr>
                <w:iCs/>
                <w:lang w:eastAsia="en-US"/>
              </w:rPr>
              <w:t xml:space="preserve">saistībā ar </w:t>
            </w:r>
            <w:r w:rsidR="00EE73D4">
              <w:rPr>
                <w:iCs/>
                <w:lang w:eastAsia="en-US"/>
              </w:rPr>
              <w:t xml:space="preserve">vienotā nodokļu konta ieviešanu </w:t>
            </w:r>
            <w:proofErr w:type="gramStart"/>
            <w:r w:rsidR="00EE73D4">
              <w:rPr>
                <w:iCs/>
                <w:lang w:eastAsia="en-US"/>
              </w:rPr>
              <w:t>2021.gadā</w:t>
            </w:r>
            <w:proofErr w:type="gramEnd"/>
            <w:r w:rsidR="00EE73D4">
              <w:rPr>
                <w:iCs/>
                <w:lang w:eastAsia="en-US"/>
              </w:rPr>
              <w:t xml:space="preserve"> </w:t>
            </w:r>
            <w:r w:rsidR="00306063">
              <w:rPr>
                <w:iCs/>
                <w:lang w:eastAsia="en-US"/>
              </w:rPr>
              <w:t>mainīt paziņojum</w:t>
            </w:r>
            <w:r w:rsidR="00466AA2">
              <w:rPr>
                <w:iCs/>
                <w:lang w:eastAsia="en-US"/>
              </w:rPr>
              <w:t>a</w:t>
            </w:r>
            <w:r w:rsidR="00306063">
              <w:rPr>
                <w:iCs/>
                <w:lang w:eastAsia="en-US"/>
              </w:rPr>
              <w:t xml:space="preserve"> par PVN samaksu iesniegšanas kārtību;</w:t>
            </w:r>
          </w:p>
          <w:p w14:paraId="60B8E1F8" w14:textId="77777777" w:rsidR="008C4298" w:rsidRPr="008C4298" w:rsidRDefault="00D21BDB" w:rsidP="003D0C21">
            <w:pPr>
              <w:pStyle w:val="ListParagraph"/>
              <w:numPr>
                <w:ilvl w:val="0"/>
                <w:numId w:val="5"/>
              </w:numPr>
              <w:ind w:right="109"/>
              <w:jc w:val="both"/>
            </w:pPr>
            <w:r w:rsidRPr="008C4298">
              <w:rPr>
                <w:iCs/>
                <w:lang w:eastAsia="en-US"/>
              </w:rPr>
              <w:lastRenderedPageBreak/>
              <w:t>veikt</w:t>
            </w:r>
            <w:r w:rsidR="00456E70" w:rsidRPr="008C4298">
              <w:rPr>
                <w:iCs/>
                <w:lang w:eastAsia="en-US"/>
              </w:rPr>
              <w:t xml:space="preserve"> citus </w:t>
            </w:r>
            <w:r w:rsidR="00C4741D" w:rsidRPr="008C4298">
              <w:rPr>
                <w:iCs/>
                <w:lang w:eastAsia="en-US"/>
              </w:rPr>
              <w:t xml:space="preserve">tehniskas dabas </w:t>
            </w:r>
            <w:r w:rsidR="00456E70" w:rsidRPr="008C4298">
              <w:rPr>
                <w:iCs/>
                <w:lang w:eastAsia="en-US"/>
              </w:rPr>
              <w:t>grozījumus atbilstoši Finanšu ministrijas iniciatīvai.</w:t>
            </w:r>
            <w:r w:rsidRPr="008C4298">
              <w:rPr>
                <w:iCs/>
                <w:lang w:eastAsia="en-US"/>
              </w:rPr>
              <w:t xml:space="preserve"> </w:t>
            </w:r>
          </w:p>
          <w:p w14:paraId="5DAAA654" w14:textId="43749B0A" w:rsidR="008C4298" w:rsidRPr="000C4C70" w:rsidRDefault="008C4298" w:rsidP="006106CF">
            <w:pPr>
              <w:ind w:right="109"/>
              <w:jc w:val="both"/>
            </w:pPr>
            <w:r w:rsidRPr="006106CF">
              <w:rPr>
                <w:rFonts w:eastAsia="Calibri"/>
                <w:lang w:eastAsia="en-US"/>
              </w:rPr>
              <w:t xml:space="preserve">Saskaņā ar Ministru kabineta </w:t>
            </w:r>
            <w:proofErr w:type="gramStart"/>
            <w:r w:rsidRPr="006106CF">
              <w:rPr>
                <w:rFonts w:eastAsia="Calibri"/>
                <w:lang w:eastAsia="en-US"/>
              </w:rPr>
              <w:t>2020.gada</w:t>
            </w:r>
            <w:proofErr w:type="gramEnd"/>
            <w:r w:rsidRPr="006106CF">
              <w:rPr>
                <w:rFonts w:eastAsia="Calibri"/>
                <w:lang w:eastAsia="en-US"/>
              </w:rPr>
              <w:t xml:space="preserve"> 22.sept</w:t>
            </w:r>
            <w:r w:rsidR="00804605" w:rsidRPr="006106CF">
              <w:rPr>
                <w:rFonts w:eastAsia="Calibri"/>
                <w:lang w:eastAsia="en-US"/>
              </w:rPr>
              <w:t>embra sēdes protokollēmuma Nr.55, 38</w:t>
            </w:r>
            <w:r w:rsidRPr="006106CF">
              <w:rPr>
                <w:rFonts w:eastAsia="Calibri"/>
                <w:lang w:eastAsia="en-US"/>
              </w:rPr>
              <w:t xml:space="preserve">.§  </w:t>
            </w:r>
            <w:r w:rsidR="00470EF0" w:rsidRPr="006106CF">
              <w:rPr>
                <w:rFonts w:eastAsia="Calibri"/>
                <w:lang w:eastAsia="en-US"/>
              </w:rPr>
              <w:t>i</w:t>
            </w:r>
            <w:r w:rsidR="00C271D9" w:rsidRPr="006106CF">
              <w:rPr>
                <w:rFonts w:eastAsia="Calibri"/>
                <w:lang w:eastAsia="en-US"/>
              </w:rPr>
              <w:t>nformatīvajam ziņojumam</w:t>
            </w:r>
            <w:r w:rsidRPr="006106CF">
              <w:rPr>
                <w:rFonts w:eastAsia="Calibri"/>
                <w:lang w:eastAsia="en-US"/>
              </w:rPr>
              <w:t xml:space="preserve"> “Par priekšlikumiem valsts budžeta ieņēmumiem un izdevumiem 2021.gadam </w:t>
            </w:r>
            <w:r w:rsidR="00804605" w:rsidRPr="006106CF">
              <w:rPr>
                <w:rFonts w:eastAsia="Calibri"/>
                <w:lang w:eastAsia="en-US"/>
              </w:rPr>
              <w:t>un ietvaram 2021.–2023.gadam” 27</w:t>
            </w:r>
            <w:r w:rsidRPr="006106CF">
              <w:rPr>
                <w:rFonts w:eastAsia="Calibri"/>
                <w:lang w:eastAsia="en-US"/>
              </w:rPr>
              <w:t>.punktu no 2021.gada 1.janvāra līdz 2023.gada 31.decembrim j</w:t>
            </w:r>
            <w:r w:rsidR="005106CB" w:rsidRPr="006106CF">
              <w:rPr>
                <w:rFonts w:eastAsia="Calibri"/>
                <w:lang w:eastAsia="en-US"/>
              </w:rPr>
              <w:t>āsaglabā PVN samazinātā likme piecu</w:t>
            </w:r>
            <w:r w:rsidRPr="006106CF">
              <w:rPr>
                <w:rFonts w:eastAsia="Calibri"/>
                <w:lang w:eastAsia="en-US"/>
              </w:rPr>
              <w:t xml:space="preserve"> procentu apmērā augļiem, ogām un dārzeņiem, vienlaikus nosakot sasniedzamos rezultatīvos rādītājus</w:t>
            </w:r>
            <w:r w:rsidR="00945856" w:rsidRPr="006106CF">
              <w:rPr>
                <w:rFonts w:eastAsia="Calibri"/>
                <w:lang w:eastAsia="en-US"/>
              </w:rPr>
              <w:t xml:space="preserve">, lai </w:t>
            </w:r>
            <w:r w:rsidR="0051514A" w:rsidRPr="006106CF">
              <w:t xml:space="preserve"> veicinātu augļkopības un dārzeņkopības nozaru attīstību</w:t>
            </w:r>
            <w:r w:rsidR="00B85E96" w:rsidRPr="006106CF">
              <w:t>,</w:t>
            </w:r>
            <w:r w:rsidR="0051514A" w:rsidRPr="006106CF">
              <w:t xml:space="preserve"> mazin</w:t>
            </w:r>
            <w:r w:rsidR="00B85E96" w:rsidRPr="006106CF">
              <w:t>ā</w:t>
            </w:r>
            <w:r w:rsidR="0051514A" w:rsidRPr="006106CF">
              <w:t>t</w:t>
            </w:r>
            <w:r w:rsidR="00052AB4" w:rsidRPr="006106CF">
              <w:t>u</w:t>
            </w:r>
            <w:r w:rsidR="0051514A" w:rsidRPr="006106CF">
              <w:t xml:space="preserve"> ēnu ekonomiku</w:t>
            </w:r>
            <w:r w:rsidR="00B85E96" w:rsidRPr="006106CF">
              <w:t>,</w:t>
            </w:r>
            <w:r w:rsidR="0051514A" w:rsidRPr="006106CF">
              <w:t xml:space="preserve">  palielin</w:t>
            </w:r>
            <w:r w:rsidR="00B85E96" w:rsidRPr="006106CF">
              <w:t>ā</w:t>
            </w:r>
            <w:r w:rsidR="0051514A" w:rsidRPr="006106CF">
              <w:t>t</w:t>
            </w:r>
            <w:r w:rsidR="00052AB4" w:rsidRPr="006106CF">
              <w:t>u</w:t>
            </w:r>
            <w:r w:rsidR="0051514A" w:rsidRPr="006106CF">
              <w:t xml:space="preserve"> legālajā tirgū darbojošos komersantu konkurētspēju</w:t>
            </w:r>
            <w:r w:rsidR="00B85E96" w:rsidRPr="006106CF">
              <w:t>,</w:t>
            </w:r>
            <w:r w:rsidR="0051514A" w:rsidRPr="006106CF">
              <w:t xml:space="preserve"> </w:t>
            </w:r>
            <w:r w:rsidR="00B85E96" w:rsidRPr="006106CF">
              <w:t xml:space="preserve"> kā arī veicināt</w:t>
            </w:r>
            <w:r w:rsidR="00052AB4" w:rsidRPr="006106CF">
              <w:t>u</w:t>
            </w:r>
            <w:r w:rsidR="00B85E96" w:rsidRPr="006106CF">
              <w:t xml:space="preserve"> </w:t>
            </w:r>
            <w:r w:rsidR="0051514A" w:rsidRPr="006106CF">
              <w:t>svaigu augļu, ogu un dārzeņu patēriņu</w:t>
            </w:r>
            <w:r w:rsidR="00C271D9" w:rsidRPr="006106CF">
              <w:rPr>
                <w:rFonts w:eastAsia="Calibri"/>
                <w:lang w:eastAsia="en-US"/>
              </w:rPr>
              <w:t>.</w:t>
            </w:r>
          </w:p>
        </w:tc>
      </w:tr>
      <w:tr w:rsidR="000C4C70" w:rsidRPr="000C4C70" w14:paraId="66C12D17" w14:textId="77777777" w:rsidTr="002E62DC">
        <w:trPr>
          <w:cantSplit/>
        </w:trPr>
        <w:tc>
          <w:tcPr>
            <w:tcW w:w="350" w:type="pct"/>
            <w:hideMark/>
          </w:tcPr>
          <w:p w14:paraId="1E3CFB4F" w14:textId="77777777" w:rsidR="0016477B" w:rsidRPr="000C4C70" w:rsidRDefault="0016477B" w:rsidP="0016477B">
            <w:r w:rsidRPr="000C4C70">
              <w:lastRenderedPageBreak/>
              <w:t xml:space="preserve"> 2.</w:t>
            </w:r>
          </w:p>
        </w:tc>
        <w:tc>
          <w:tcPr>
            <w:tcW w:w="999" w:type="pct"/>
            <w:hideMark/>
          </w:tcPr>
          <w:p w14:paraId="2481B4D5" w14:textId="77777777" w:rsidR="0016477B" w:rsidRPr="000C4C70" w:rsidRDefault="0016477B" w:rsidP="0016477B">
            <w:r w:rsidRPr="000C4C70">
              <w:t>Pašreizējā situācija un problēmas, kuru risināšanai tiesību akta projekts izstrādāts, tiesiskā regulējuma mērķis un būtība</w:t>
            </w:r>
          </w:p>
          <w:p w14:paraId="1F030C86" w14:textId="77777777" w:rsidR="0016477B" w:rsidRPr="000C4C70" w:rsidRDefault="0016477B" w:rsidP="0016477B"/>
          <w:p w14:paraId="53042C8C" w14:textId="77777777" w:rsidR="0016477B" w:rsidRPr="000C4C70" w:rsidRDefault="0016477B" w:rsidP="0016477B"/>
          <w:p w14:paraId="622DD5B8" w14:textId="77777777" w:rsidR="0016477B" w:rsidRPr="000C4C70" w:rsidRDefault="0016477B" w:rsidP="0016477B"/>
          <w:p w14:paraId="136CCC0A" w14:textId="77777777" w:rsidR="0016477B" w:rsidRPr="000C4C70" w:rsidRDefault="0016477B" w:rsidP="0016477B"/>
          <w:p w14:paraId="4FDC4717" w14:textId="77777777" w:rsidR="0016477B" w:rsidRPr="000C4C70" w:rsidRDefault="0016477B" w:rsidP="0016477B"/>
          <w:p w14:paraId="50A024AE" w14:textId="77777777" w:rsidR="0016477B" w:rsidRPr="000C4C70" w:rsidRDefault="0016477B" w:rsidP="0016477B"/>
          <w:p w14:paraId="2AAC138F" w14:textId="77777777" w:rsidR="0016477B" w:rsidRPr="000C4C70" w:rsidRDefault="0016477B" w:rsidP="0016477B"/>
          <w:p w14:paraId="26772174" w14:textId="77777777" w:rsidR="0016477B" w:rsidRPr="000C4C70" w:rsidRDefault="0016477B" w:rsidP="0016477B"/>
          <w:p w14:paraId="434B2413" w14:textId="77777777" w:rsidR="0016477B" w:rsidRPr="000C4C70" w:rsidRDefault="0016477B" w:rsidP="0016477B"/>
          <w:p w14:paraId="34B3CAF0" w14:textId="77777777" w:rsidR="0016477B" w:rsidRPr="000C4C70" w:rsidRDefault="0016477B" w:rsidP="0016477B"/>
          <w:p w14:paraId="707D3173" w14:textId="77777777" w:rsidR="0016477B" w:rsidRPr="000C4C70" w:rsidRDefault="0016477B" w:rsidP="0016477B"/>
          <w:p w14:paraId="0DDF07EF" w14:textId="77777777" w:rsidR="0016477B" w:rsidRPr="000C4C70" w:rsidRDefault="0016477B" w:rsidP="0016477B"/>
          <w:p w14:paraId="404018BE" w14:textId="77777777" w:rsidR="0016477B" w:rsidRPr="000C4C70" w:rsidRDefault="0016477B" w:rsidP="0016477B"/>
          <w:p w14:paraId="7601FE59" w14:textId="77777777" w:rsidR="0016477B" w:rsidRPr="000C4C70" w:rsidRDefault="0016477B" w:rsidP="0016477B"/>
          <w:p w14:paraId="4587878E" w14:textId="77777777" w:rsidR="0016477B" w:rsidRPr="000C4C70" w:rsidRDefault="0016477B" w:rsidP="0016477B"/>
          <w:p w14:paraId="7B6829B9" w14:textId="77777777" w:rsidR="0016477B" w:rsidRPr="000C4C70" w:rsidRDefault="0016477B" w:rsidP="0016477B"/>
          <w:p w14:paraId="6615A7EC" w14:textId="77777777" w:rsidR="0016477B" w:rsidRPr="000C4C70" w:rsidRDefault="0016477B" w:rsidP="0016477B"/>
          <w:p w14:paraId="67D8038A" w14:textId="77777777" w:rsidR="0016477B" w:rsidRPr="000C4C70" w:rsidRDefault="0016477B" w:rsidP="0016477B"/>
          <w:p w14:paraId="650CBA2B" w14:textId="77777777" w:rsidR="0016477B" w:rsidRPr="000C4C70" w:rsidRDefault="0016477B" w:rsidP="0016477B"/>
          <w:p w14:paraId="344EF92F" w14:textId="77777777" w:rsidR="0016477B" w:rsidRPr="000C4C70" w:rsidRDefault="0016477B" w:rsidP="0016477B"/>
          <w:p w14:paraId="54BA59B0" w14:textId="77777777" w:rsidR="0016477B" w:rsidRPr="000C4C70" w:rsidRDefault="0016477B" w:rsidP="0016477B"/>
          <w:p w14:paraId="0C0F9812" w14:textId="77777777" w:rsidR="0016477B" w:rsidRPr="000C4C70" w:rsidRDefault="0016477B" w:rsidP="0016477B"/>
          <w:p w14:paraId="4D49A9EE" w14:textId="77777777" w:rsidR="0016477B" w:rsidRPr="000C4C70" w:rsidRDefault="0016477B" w:rsidP="0016477B"/>
          <w:p w14:paraId="1E08DC91" w14:textId="77777777" w:rsidR="0016477B" w:rsidRPr="000C4C70" w:rsidRDefault="0016477B" w:rsidP="0016477B"/>
          <w:p w14:paraId="550256A1" w14:textId="77777777" w:rsidR="0016477B" w:rsidRPr="000C4C70" w:rsidRDefault="0016477B" w:rsidP="0016477B"/>
          <w:p w14:paraId="55C241EB" w14:textId="77777777" w:rsidR="0016477B" w:rsidRPr="000C4C70" w:rsidRDefault="0016477B" w:rsidP="0016477B"/>
          <w:p w14:paraId="1867AFA3" w14:textId="77777777" w:rsidR="0016477B" w:rsidRPr="000C4C70" w:rsidRDefault="0016477B" w:rsidP="0016477B"/>
          <w:p w14:paraId="5CC9BCD5" w14:textId="77777777" w:rsidR="0016477B" w:rsidRPr="000C4C70" w:rsidRDefault="0016477B" w:rsidP="0016477B"/>
          <w:p w14:paraId="425E0F32" w14:textId="77777777" w:rsidR="0016477B" w:rsidRPr="000C4C70" w:rsidRDefault="0016477B" w:rsidP="0016477B"/>
          <w:p w14:paraId="2D79C682" w14:textId="77777777" w:rsidR="0016477B" w:rsidRPr="000C4C70" w:rsidRDefault="0016477B" w:rsidP="0016477B"/>
          <w:p w14:paraId="33C13ECC" w14:textId="77777777" w:rsidR="0016477B" w:rsidRPr="000C4C70" w:rsidRDefault="0016477B" w:rsidP="0016477B"/>
          <w:p w14:paraId="1792DC39" w14:textId="77777777" w:rsidR="0016477B" w:rsidRPr="000C4C70" w:rsidRDefault="0016477B" w:rsidP="0016477B"/>
          <w:p w14:paraId="78172E73" w14:textId="77777777" w:rsidR="0016477B" w:rsidRPr="000C4C70" w:rsidRDefault="0016477B" w:rsidP="0016477B"/>
          <w:p w14:paraId="2C5DF760" w14:textId="77777777" w:rsidR="0016477B" w:rsidRPr="000C4C70" w:rsidRDefault="0016477B" w:rsidP="0016477B"/>
          <w:p w14:paraId="2BE7F29F" w14:textId="77777777" w:rsidR="0016477B" w:rsidRPr="000C4C70" w:rsidRDefault="0016477B" w:rsidP="0016477B"/>
          <w:p w14:paraId="7C5381F1" w14:textId="77777777" w:rsidR="0016477B" w:rsidRPr="000C4C70" w:rsidRDefault="0016477B" w:rsidP="0016477B"/>
          <w:p w14:paraId="2AAD05FE" w14:textId="77777777" w:rsidR="0016477B" w:rsidRPr="000C4C70" w:rsidRDefault="0016477B" w:rsidP="0016477B"/>
          <w:p w14:paraId="4ACBBC76" w14:textId="77777777" w:rsidR="0016477B" w:rsidRPr="000C4C70" w:rsidRDefault="0016477B" w:rsidP="0016477B"/>
          <w:p w14:paraId="0509D6E2" w14:textId="77777777" w:rsidR="0016477B" w:rsidRPr="000C4C70" w:rsidRDefault="0016477B" w:rsidP="0016477B"/>
          <w:p w14:paraId="658551AC" w14:textId="77777777" w:rsidR="0016477B" w:rsidRPr="000C4C70" w:rsidRDefault="0016477B" w:rsidP="0016477B"/>
          <w:p w14:paraId="469B2ED1" w14:textId="77777777" w:rsidR="0016477B" w:rsidRPr="000C4C70" w:rsidRDefault="0016477B" w:rsidP="0016477B"/>
          <w:p w14:paraId="4A5FE104" w14:textId="77777777" w:rsidR="0016477B" w:rsidRPr="000C4C70" w:rsidRDefault="0016477B" w:rsidP="0016477B"/>
          <w:p w14:paraId="5B482F2B" w14:textId="77777777" w:rsidR="0016477B" w:rsidRPr="000C4C70" w:rsidRDefault="0016477B" w:rsidP="0016477B"/>
          <w:p w14:paraId="7B4660DB" w14:textId="01337D6D" w:rsidR="004E3BA8" w:rsidRDefault="004E3BA8" w:rsidP="0016477B">
            <w:pPr>
              <w:jc w:val="right"/>
            </w:pPr>
          </w:p>
          <w:p w14:paraId="7FFDF997" w14:textId="77777777" w:rsidR="004E3BA8" w:rsidRPr="004E3BA8" w:rsidRDefault="004E3BA8" w:rsidP="004E3BA8"/>
          <w:p w14:paraId="0444304F" w14:textId="77777777" w:rsidR="004E3BA8" w:rsidRPr="004E3BA8" w:rsidRDefault="004E3BA8" w:rsidP="004E3BA8"/>
          <w:p w14:paraId="168D97E1" w14:textId="77777777" w:rsidR="004E3BA8" w:rsidRPr="004E3BA8" w:rsidRDefault="004E3BA8" w:rsidP="004E3BA8"/>
          <w:p w14:paraId="2F5F754C" w14:textId="46FDED83" w:rsidR="0016477B" w:rsidRPr="004E3BA8" w:rsidRDefault="0016477B" w:rsidP="004E3BA8">
            <w:pPr>
              <w:jc w:val="center"/>
            </w:pPr>
          </w:p>
        </w:tc>
        <w:tc>
          <w:tcPr>
            <w:tcW w:w="3651" w:type="pct"/>
            <w:hideMark/>
          </w:tcPr>
          <w:p w14:paraId="708B667E" w14:textId="33531677" w:rsidR="000C4C70" w:rsidRPr="0061188B" w:rsidRDefault="000C4C70" w:rsidP="00466AA2">
            <w:pPr>
              <w:pStyle w:val="ListParagraph"/>
              <w:numPr>
                <w:ilvl w:val="0"/>
                <w:numId w:val="22"/>
              </w:numPr>
              <w:ind w:left="0" w:firstLine="284"/>
              <w:jc w:val="both"/>
              <w:rPr>
                <w:b/>
                <w:i/>
              </w:rPr>
            </w:pPr>
            <w:r w:rsidRPr="0061188B">
              <w:rPr>
                <w:b/>
                <w:i/>
              </w:rPr>
              <w:lastRenderedPageBreak/>
              <w:t>VID lēmumu paziņošana un iesniegumu iesniegšanas kārtība</w:t>
            </w:r>
          </w:p>
          <w:p w14:paraId="2EE7E6B0" w14:textId="2C5DD02A" w:rsidR="000C4C70" w:rsidRPr="000C4C70" w:rsidRDefault="000C4C70" w:rsidP="00466AA2">
            <w:pPr>
              <w:ind w:right="132" w:firstLine="284"/>
              <w:jc w:val="both"/>
            </w:pPr>
            <w:r w:rsidRPr="000C4C70">
              <w:t>Regulējuma mērķis ir samazināt administratīvo slogu</w:t>
            </w:r>
            <w:r w:rsidR="00440E1B">
              <w:t xml:space="preserve"> un izmaksas</w:t>
            </w:r>
            <w:r w:rsidRPr="000C4C70">
              <w:t>, vienkāršojot VID lēmumu paziņošanas kārtību un PVN maksātāju saziņu ar VID.</w:t>
            </w:r>
          </w:p>
          <w:p w14:paraId="1189AB9B" w14:textId="46BEDC1F" w:rsidR="000C4C70" w:rsidRPr="000C4C70" w:rsidRDefault="000C4C70" w:rsidP="00466AA2">
            <w:pPr>
              <w:ind w:right="132" w:firstLine="284"/>
              <w:jc w:val="both"/>
            </w:pPr>
            <w:r w:rsidRPr="000C4C70">
              <w:t>1.</w:t>
            </w:r>
            <w:r w:rsidR="0061188B">
              <w:t>1.</w:t>
            </w:r>
            <w:r w:rsidRPr="000C4C70">
              <w:t xml:space="preserve"> Atbilstoši </w:t>
            </w:r>
            <w:r>
              <w:t>PVN likum</w:t>
            </w:r>
            <w:r w:rsidR="00267F31">
              <w:t xml:space="preserve">a </w:t>
            </w:r>
            <w:proofErr w:type="gramStart"/>
            <w:r w:rsidRPr="000C4C70">
              <w:t>66.pantam</w:t>
            </w:r>
            <w:proofErr w:type="gramEnd"/>
            <w:r w:rsidRPr="000C4C70">
              <w:t xml:space="preserve"> VID lēmumu par personas (izņemot PVN grupu) reģistrāciju VID PVN maksātāju reģistrā var paziņot </w:t>
            </w:r>
            <w:r w:rsidR="00440E1B">
              <w:t>trīs</w:t>
            </w:r>
            <w:r w:rsidRPr="000C4C70">
              <w:t xml:space="preserve"> veidos. Atkarībā no personas reģistrācijas iesniegumā izvēlētā lēmuma paziņošanas veida šādu lēmumu VID paziņo VID mājaslapā internetā, VID Elektroniskās deklarēšanas sistēmā (turpmāk – EDS), ja persona ir šīs sistēmas lietotāja, vai pa pastu.</w:t>
            </w:r>
          </w:p>
          <w:p w14:paraId="69891F97" w14:textId="29AC012D" w:rsidR="000C4C70" w:rsidRPr="000C4C70" w:rsidRDefault="000C4C70" w:rsidP="00466AA2">
            <w:pPr>
              <w:ind w:right="132" w:firstLine="284"/>
              <w:jc w:val="both"/>
            </w:pPr>
            <w:r w:rsidRPr="000C4C70">
              <w:t>No personas lēmuma paziņošanas veida ir atkarīgs arī brīdis, kad persona kļūst reģistrēts PVN maksātājs</w:t>
            </w:r>
            <w:proofErr w:type="gramStart"/>
            <w:r w:rsidR="00440E1B">
              <w:t xml:space="preserve"> un</w:t>
            </w:r>
            <w:proofErr w:type="gramEnd"/>
            <w:r w:rsidR="00440E1B">
              <w:t xml:space="preserve"> attiecīgi tam iestājas tā ar PVN likuma noteiktie pienākumi un tiesības</w:t>
            </w:r>
            <w:r w:rsidRPr="000C4C70">
              <w:t>:</w:t>
            </w:r>
          </w:p>
          <w:p w14:paraId="4C8DCC3B" w14:textId="77777777" w:rsidR="000C4C70" w:rsidRPr="000C4C70" w:rsidRDefault="000C4C70" w:rsidP="00466AA2">
            <w:pPr>
              <w:pStyle w:val="ListParagraph"/>
              <w:numPr>
                <w:ilvl w:val="0"/>
                <w:numId w:val="25"/>
              </w:numPr>
              <w:tabs>
                <w:tab w:val="left" w:pos="767"/>
              </w:tabs>
              <w:ind w:right="132"/>
              <w:contextualSpacing w:val="0"/>
              <w:jc w:val="both"/>
            </w:pPr>
            <w:r w:rsidRPr="000C4C70">
              <w:t xml:space="preserve">ar nākamo dienu pēc lēmuma paziņošanas VID </w:t>
            </w:r>
            <w:proofErr w:type="gramStart"/>
            <w:r w:rsidRPr="000C4C70">
              <w:t>mājas lapā</w:t>
            </w:r>
            <w:proofErr w:type="gramEnd"/>
            <w:r w:rsidRPr="000C4C70">
              <w:t xml:space="preserve"> internetā; </w:t>
            </w:r>
          </w:p>
          <w:p w14:paraId="76E0CE3E" w14:textId="77777777" w:rsidR="000C4C70" w:rsidRPr="000C4C70" w:rsidRDefault="000C4C70" w:rsidP="00466AA2">
            <w:pPr>
              <w:pStyle w:val="ListParagraph"/>
              <w:numPr>
                <w:ilvl w:val="0"/>
                <w:numId w:val="25"/>
              </w:numPr>
              <w:tabs>
                <w:tab w:val="left" w:pos="767"/>
              </w:tabs>
              <w:ind w:right="132"/>
              <w:contextualSpacing w:val="0"/>
              <w:jc w:val="both"/>
            </w:pPr>
            <w:r w:rsidRPr="000C4C70">
              <w:t>ar otro darbdienu pēc lēmuma ievietošanas EDS;</w:t>
            </w:r>
          </w:p>
          <w:p w14:paraId="2955266C" w14:textId="77777777" w:rsidR="000C4C70" w:rsidRPr="000C4C70" w:rsidRDefault="000C4C70" w:rsidP="00466AA2">
            <w:pPr>
              <w:pStyle w:val="ListParagraph"/>
              <w:numPr>
                <w:ilvl w:val="0"/>
                <w:numId w:val="25"/>
              </w:numPr>
              <w:tabs>
                <w:tab w:val="left" w:pos="767"/>
              </w:tabs>
              <w:ind w:right="132"/>
              <w:contextualSpacing w:val="0"/>
              <w:jc w:val="both"/>
            </w:pPr>
            <w:r w:rsidRPr="000C4C70">
              <w:t>ar septīto dienu pēc šā lēmuma nodošanas pastā.</w:t>
            </w:r>
          </w:p>
          <w:p w14:paraId="42AFC77D" w14:textId="77777777" w:rsidR="000C4C70" w:rsidRPr="000C4C70" w:rsidRDefault="000C4C70" w:rsidP="00466AA2">
            <w:pPr>
              <w:ind w:left="-4" w:right="132" w:firstLine="288"/>
              <w:jc w:val="both"/>
            </w:pPr>
            <w:r w:rsidRPr="000C4C70">
              <w:t xml:space="preserve">Vēsturiski, kopš </w:t>
            </w:r>
            <w:proofErr w:type="gramStart"/>
            <w:r w:rsidRPr="000C4C70">
              <w:t>2009.gada</w:t>
            </w:r>
            <w:proofErr w:type="gramEnd"/>
            <w:r w:rsidRPr="000C4C70">
              <w:t xml:space="preserve"> 1.decembra, PVN maksātājam tika dota iespēja izvēlēties sev ērtāko sasniegšanas veidu, jo, ņemot vērā tā laika tehnoloģiskās iespējas, VID nebija nostiprināts viens konkrēts personas sasniegšanas veids. Arī likumā “Par nodokļiem un nodevām” līdz </w:t>
            </w:r>
            <w:proofErr w:type="gramStart"/>
            <w:r w:rsidRPr="000C4C70">
              <w:t>2013.gadam</w:t>
            </w:r>
            <w:proofErr w:type="gramEnd"/>
            <w:r w:rsidRPr="000C4C70">
              <w:t xml:space="preserve"> nebija iekļauts regulējums, kas paredzētu VID izdoto dokumentu paziņošanu, izmantojot elektroniskos sakarus. Tomēr, attīstoties informācijas tehnoloģijām, situācija ir mainījusies, un saziņas process starp VID un nodokļu maksātājiem pašlaik galvenokārt notiek elektroniskajā veidā, izmantojot EDS, kas ir drošs un ērts veids dokumentu iesniegšanai, saziņai ar VID un tiešsaistes pakalpojumu saņemšanai. </w:t>
            </w:r>
          </w:p>
          <w:p w14:paraId="6C84E079" w14:textId="0C89ED0D" w:rsidR="000C4C70" w:rsidRPr="0066494B" w:rsidRDefault="000C4C70" w:rsidP="0066494B">
            <w:pPr>
              <w:ind w:right="132" w:firstLine="284"/>
              <w:jc w:val="both"/>
            </w:pPr>
            <w:r w:rsidRPr="000C4C70">
              <w:t>Valsts kontrole savā z</w:t>
            </w:r>
            <w:r w:rsidRPr="000C4C70">
              <w:rPr>
                <w:iCs/>
              </w:rPr>
              <w:t xml:space="preserve">iņojumā par Latvijas Republikas </w:t>
            </w:r>
            <w:proofErr w:type="gramStart"/>
            <w:r w:rsidRPr="000C4C70">
              <w:rPr>
                <w:iCs/>
              </w:rPr>
              <w:t>2018.gada</w:t>
            </w:r>
            <w:proofErr w:type="gramEnd"/>
            <w:r w:rsidRPr="000C4C70">
              <w:rPr>
                <w:iCs/>
              </w:rPr>
              <w:t xml:space="preserve"> pārskatu par valsts budžeta izpildi un par pašvaldību budžetiem sniedza ieteikumu Finanšu ministrijai </w:t>
            </w:r>
            <w:r w:rsidRPr="000C4C70">
              <w:t xml:space="preserve">izvērtēt iespēju veikt grozījumus PVN likumā, nosakot vienu veidu, kādā PVN maksātājam tiek paziņots lēmums par tā reģistrāciju VID PVN maksātāju reģistrā. Šī ieteikuma mērķis ir mazināt administratīvo slogu, efektivizēt VID izmaksas un vienkāršot lēmuma paziņošanu </w:t>
            </w:r>
            <w:r w:rsidR="00267F31">
              <w:t>PVN</w:t>
            </w:r>
            <w:r w:rsidRPr="000C4C70">
              <w:t xml:space="preserve"> maksātājiem par reģistrāciju VID </w:t>
            </w:r>
            <w:r w:rsidRPr="0066494B">
              <w:t xml:space="preserve">PVN maksātāju reģistrā. </w:t>
            </w:r>
          </w:p>
          <w:p w14:paraId="4B7B0F88" w14:textId="1B293545" w:rsidR="007E5D39" w:rsidRPr="0066494B" w:rsidRDefault="000C4C70" w:rsidP="0066494B">
            <w:pPr>
              <w:pStyle w:val="CommentText"/>
              <w:ind w:firstLine="310"/>
              <w:jc w:val="both"/>
              <w:rPr>
                <w:sz w:val="24"/>
                <w:szCs w:val="24"/>
              </w:rPr>
            </w:pPr>
            <w:r w:rsidRPr="0066494B">
              <w:rPr>
                <w:sz w:val="24"/>
                <w:szCs w:val="24"/>
              </w:rPr>
              <w:t>Likum</w:t>
            </w:r>
            <w:r w:rsidR="006A7A13" w:rsidRPr="0066494B">
              <w:rPr>
                <w:sz w:val="24"/>
                <w:szCs w:val="24"/>
              </w:rPr>
              <w:t>a</w:t>
            </w:r>
            <w:r w:rsidRPr="0066494B">
              <w:rPr>
                <w:sz w:val="24"/>
                <w:szCs w:val="24"/>
              </w:rPr>
              <w:t xml:space="preserve"> “Par nodokļiem un nodevām” 7.</w:t>
            </w:r>
            <w:r w:rsidRPr="0066494B">
              <w:rPr>
                <w:sz w:val="24"/>
                <w:szCs w:val="24"/>
                <w:vertAlign w:val="superscript"/>
              </w:rPr>
              <w:t xml:space="preserve">2 </w:t>
            </w:r>
            <w:r w:rsidRPr="0066494B">
              <w:rPr>
                <w:sz w:val="24"/>
                <w:szCs w:val="24"/>
              </w:rPr>
              <w:t>pants</w:t>
            </w:r>
            <w:r w:rsidRPr="0066494B">
              <w:rPr>
                <w:sz w:val="24"/>
                <w:szCs w:val="24"/>
                <w:vertAlign w:val="superscript"/>
              </w:rPr>
              <w:t xml:space="preserve"> </w:t>
            </w:r>
            <w:r w:rsidRPr="0066494B">
              <w:rPr>
                <w:sz w:val="24"/>
                <w:szCs w:val="24"/>
              </w:rPr>
              <w:t xml:space="preserve">nosaka, ka VID izdoto administratīvo aktu (arī nelabvēlīgu administratīvo aktu) un citus lēmumus, dokumentus un informāciju nodokļu maksātājam, kurš ir EDS lietotājs, paziņo, izmantojot EDS. Tomēr pašlaik ir noteikums, ka minētais neattiecas uz gadījumiem, kad nodokļu maksātājs, kurš ir EDS lietotājs, ir norādījis citu konkrētā dokumenta paziņošanas veidu. Ņemot vērā, ka juridiskajām un fiziskajām personām, kas veic saimniecisko darbību, ir noteikti daudz un dažādi pienākumi, kas sevī būtībā ietver tādu aktīvu sadarbību ar VID, kuras </w:t>
            </w:r>
            <w:r w:rsidRPr="0066494B">
              <w:rPr>
                <w:sz w:val="24"/>
                <w:szCs w:val="24"/>
              </w:rPr>
              <w:lastRenderedPageBreak/>
              <w:t>efektīva un ātra izpilde ir nodrošināma, izmantojot tikai elektronisko saziņu, ir izstrādāts likumprojekts “Grozījumi likumā “Par nodokļiem un nodevām””</w:t>
            </w:r>
            <w:r w:rsidR="00B433E2" w:rsidRPr="0066494B">
              <w:rPr>
                <w:sz w:val="24"/>
                <w:szCs w:val="24"/>
              </w:rPr>
              <w:t xml:space="preserve"> (Nr.418/Lp13)</w:t>
            </w:r>
            <w:r w:rsidRPr="0066494B">
              <w:rPr>
                <w:sz w:val="24"/>
                <w:szCs w:val="24"/>
              </w:rPr>
              <w:t xml:space="preserve">, kas 2020.gada </w:t>
            </w:r>
            <w:r w:rsidR="00B47643" w:rsidRPr="0066494B">
              <w:rPr>
                <w:sz w:val="24"/>
                <w:szCs w:val="24"/>
              </w:rPr>
              <w:t>20</w:t>
            </w:r>
            <w:r w:rsidRPr="0066494B">
              <w:rPr>
                <w:sz w:val="24"/>
                <w:szCs w:val="24"/>
              </w:rPr>
              <w:t>.</w:t>
            </w:r>
            <w:r w:rsidR="002C3563" w:rsidRPr="0066494B">
              <w:rPr>
                <w:sz w:val="24"/>
                <w:szCs w:val="24"/>
              </w:rPr>
              <w:t>februār</w:t>
            </w:r>
            <w:r w:rsidR="00466AA2" w:rsidRPr="0066494B">
              <w:rPr>
                <w:sz w:val="24"/>
                <w:szCs w:val="24"/>
              </w:rPr>
              <w:t>ī</w:t>
            </w:r>
            <w:r w:rsidRPr="0066494B">
              <w:rPr>
                <w:sz w:val="24"/>
                <w:szCs w:val="24"/>
              </w:rPr>
              <w:t xml:space="preserve"> ir </w:t>
            </w:r>
            <w:r w:rsidR="0061188B" w:rsidRPr="0066494B">
              <w:rPr>
                <w:sz w:val="24"/>
                <w:szCs w:val="24"/>
              </w:rPr>
              <w:t>pieņemts</w:t>
            </w:r>
            <w:r w:rsidRPr="0066494B">
              <w:rPr>
                <w:sz w:val="24"/>
                <w:szCs w:val="24"/>
              </w:rPr>
              <w:t xml:space="preserve"> Saeimā </w:t>
            </w:r>
            <w:r w:rsidR="00B47643" w:rsidRPr="0066494B">
              <w:rPr>
                <w:sz w:val="24"/>
                <w:szCs w:val="24"/>
              </w:rPr>
              <w:t>2</w:t>
            </w:r>
            <w:r w:rsidRPr="0066494B">
              <w:rPr>
                <w:sz w:val="24"/>
                <w:szCs w:val="24"/>
              </w:rPr>
              <w:t xml:space="preserve">.lasījumā. </w:t>
            </w:r>
            <w:r w:rsidR="00AB5022" w:rsidRPr="0066494B">
              <w:rPr>
                <w:sz w:val="24"/>
                <w:szCs w:val="24"/>
              </w:rPr>
              <w:t>L</w:t>
            </w:r>
            <w:r w:rsidRPr="0066494B">
              <w:rPr>
                <w:sz w:val="24"/>
                <w:szCs w:val="24"/>
              </w:rPr>
              <w:t xml:space="preserve">ikumprojektā </w:t>
            </w:r>
            <w:r w:rsidR="00246CC6" w:rsidRPr="0066494B">
              <w:rPr>
                <w:sz w:val="24"/>
                <w:szCs w:val="24"/>
              </w:rPr>
              <w:t xml:space="preserve">“Grozījumi likumā “Par nodokļiem un nodevām”” </w:t>
            </w:r>
            <w:r w:rsidRPr="0066494B">
              <w:rPr>
                <w:sz w:val="24"/>
                <w:szCs w:val="24"/>
              </w:rPr>
              <w:t>ir paredzēts, ka no 2021.gada 1.janvāra citu dokumenta paziņošanas veidu būs tiesības izvēlēties tikai fiziskām personām, kas neveic saimniecisko darbību.</w:t>
            </w:r>
            <w:r w:rsidR="0066494B" w:rsidRPr="0066494B">
              <w:rPr>
                <w:sz w:val="24"/>
                <w:szCs w:val="24"/>
              </w:rPr>
              <w:t xml:space="preserve"> Savukārt,</w:t>
            </w:r>
            <w:r w:rsidRPr="0066494B">
              <w:rPr>
                <w:sz w:val="24"/>
                <w:szCs w:val="24"/>
              </w:rPr>
              <w:t xml:space="preserve"> </w:t>
            </w:r>
            <w:r w:rsidR="0066494B" w:rsidRPr="0066494B">
              <w:rPr>
                <w:sz w:val="24"/>
                <w:szCs w:val="24"/>
              </w:rPr>
              <w:t xml:space="preserve"> izskatot konkrēto likumprojektu Saeimas Budžeta un finanšu (nodokļu) komisijas 2020.gada 16.septembra sēdē, tika atbalstīts konkrētās komisijas priekšlikums pagarināt spēkā stāšanās laiku uz 2022.gada 1.janvāri.</w:t>
            </w:r>
            <w:r w:rsidR="0066494B">
              <w:rPr>
                <w:sz w:val="24"/>
                <w:szCs w:val="24"/>
              </w:rPr>
              <w:t xml:space="preserve"> </w:t>
            </w:r>
            <w:r w:rsidRPr="0066494B">
              <w:rPr>
                <w:sz w:val="24"/>
                <w:szCs w:val="24"/>
              </w:rPr>
              <w:t>Tādā veidā</w:t>
            </w:r>
            <w:r w:rsidR="00246CC6" w:rsidRPr="0066494B">
              <w:rPr>
                <w:sz w:val="24"/>
                <w:szCs w:val="24"/>
              </w:rPr>
              <w:t xml:space="preserve"> saskaņā ar likumu “Par nodokļiem un nodevām”</w:t>
            </w:r>
            <w:r w:rsidRPr="0066494B">
              <w:rPr>
                <w:sz w:val="24"/>
                <w:szCs w:val="24"/>
              </w:rPr>
              <w:t xml:space="preserve"> visām personām, kas veic saimniecisko darbību</w:t>
            </w:r>
            <w:r w:rsidR="00246CC6" w:rsidRPr="0066494B">
              <w:rPr>
                <w:sz w:val="24"/>
                <w:szCs w:val="24"/>
              </w:rPr>
              <w:t xml:space="preserve"> (proti, attiecas arī uz PVN maksātājiem)</w:t>
            </w:r>
            <w:r w:rsidRPr="0066494B">
              <w:rPr>
                <w:sz w:val="24"/>
                <w:szCs w:val="24"/>
              </w:rPr>
              <w:t xml:space="preserve">, lēmumu paziņošana notiks elektroniski, ievietojot šos lēmumus EDS, vienlaikus par to nosūtot informāciju uz nodokļu maksātāja EDS sistēmā norādīto e-pasta adresi un oficiālo e-pasta adresi, ja tam ir aktivizēts oficiālās e-pasta adreses konts. Nodokļu maksātāju ērtībai </w:t>
            </w:r>
            <w:r w:rsidR="00246CC6" w:rsidRPr="0066494B">
              <w:rPr>
                <w:sz w:val="24"/>
                <w:szCs w:val="24"/>
              </w:rPr>
              <w:t xml:space="preserve">administratīvajam </w:t>
            </w:r>
            <w:r w:rsidRPr="0066494B">
              <w:rPr>
                <w:sz w:val="24"/>
                <w:szCs w:val="24"/>
              </w:rPr>
              <w:t xml:space="preserve">procesam </w:t>
            </w:r>
            <w:r w:rsidR="00246CC6" w:rsidRPr="0066494B">
              <w:rPr>
                <w:sz w:val="24"/>
                <w:szCs w:val="24"/>
              </w:rPr>
              <w:t xml:space="preserve">PVN jomā </w:t>
            </w:r>
            <w:r w:rsidRPr="0066494B">
              <w:rPr>
                <w:sz w:val="24"/>
                <w:szCs w:val="24"/>
              </w:rPr>
              <w:t>pēc iespējas nebūtu jāatšķiras no likumā “Par nodokļiem un nodevām” noteiktā vispārīgā regulējuma.</w:t>
            </w:r>
            <w:r w:rsidR="007E5D39" w:rsidRPr="0066494B">
              <w:rPr>
                <w:sz w:val="24"/>
                <w:szCs w:val="24"/>
              </w:rPr>
              <w:t xml:space="preserve"> Attiecīgi  </w:t>
            </w:r>
            <w:r w:rsidR="0066494B">
              <w:rPr>
                <w:sz w:val="24"/>
                <w:szCs w:val="24"/>
              </w:rPr>
              <w:t>likumprojektā ir iekļauti pārejas noteikumi, lai šī regulējuma</w:t>
            </w:r>
            <w:r w:rsidR="007E5D39" w:rsidRPr="0066494B">
              <w:rPr>
                <w:sz w:val="24"/>
                <w:szCs w:val="24"/>
              </w:rPr>
              <w:t xml:space="preserve"> spēkā stāšanās datums </w:t>
            </w:r>
            <w:r w:rsidR="0066494B">
              <w:rPr>
                <w:sz w:val="24"/>
                <w:szCs w:val="24"/>
              </w:rPr>
              <w:t xml:space="preserve">tiktu </w:t>
            </w:r>
            <w:r w:rsidR="00B433E2" w:rsidRPr="0066494B">
              <w:rPr>
                <w:sz w:val="24"/>
                <w:szCs w:val="24"/>
              </w:rPr>
              <w:t xml:space="preserve">vienādots </w:t>
            </w:r>
            <w:r w:rsidR="007E5D39" w:rsidRPr="0066494B">
              <w:rPr>
                <w:sz w:val="24"/>
                <w:szCs w:val="24"/>
              </w:rPr>
              <w:t>ar likumprojekt</w:t>
            </w:r>
            <w:r w:rsidR="00B433E2" w:rsidRPr="0066494B">
              <w:rPr>
                <w:sz w:val="24"/>
                <w:szCs w:val="24"/>
              </w:rPr>
              <w:t>ā</w:t>
            </w:r>
            <w:r w:rsidR="007E5D39" w:rsidRPr="0066494B">
              <w:rPr>
                <w:sz w:val="24"/>
                <w:szCs w:val="24"/>
              </w:rPr>
              <w:t xml:space="preserve"> “Grozījumi likumā “Par nodokļiem un nodevām”</w:t>
            </w:r>
            <w:r w:rsidR="00B433E2" w:rsidRPr="0066494B">
              <w:rPr>
                <w:sz w:val="24"/>
                <w:szCs w:val="24"/>
              </w:rPr>
              <w:t>(Nr.418/Lp13) paredzēto</w:t>
            </w:r>
            <w:r w:rsidR="007E5D39" w:rsidRPr="0066494B">
              <w:rPr>
                <w:sz w:val="24"/>
                <w:szCs w:val="24"/>
              </w:rPr>
              <w:t>.</w:t>
            </w:r>
          </w:p>
          <w:p w14:paraId="7E4B1CDE" w14:textId="15A907D1" w:rsidR="000C4C70" w:rsidRPr="000C4C70" w:rsidRDefault="00246CC6" w:rsidP="00466AA2">
            <w:pPr>
              <w:ind w:right="132" w:firstLine="284"/>
              <w:jc w:val="both"/>
            </w:pPr>
            <w:r>
              <w:t>Turklāt, l</w:t>
            </w:r>
            <w:r w:rsidR="000C4C70" w:rsidRPr="000C4C70">
              <w:t xml:space="preserve">ai noskaidrotu PVN maksātāju viedokli par lēmumu paziņošanas izvēles iespējām, Finanšu ministrija veica aptauju, kurā piedalījās 83 respondenti, no kuriem 80% atbalstīja tikai vienu lēmuma par reģistrāciju vai atteikumu reģistrēt VID PVN maksātāju reģistrā paziņošanas veidu, priekšroku dodot lēmuma paziņošanai EDS </w:t>
            </w:r>
            <w:proofErr w:type="gramStart"/>
            <w:r w:rsidR="000C4C70" w:rsidRPr="000C4C70">
              <w:t>(</w:t>
            </w:r>
            <w:proofErr w:type="gramEnd"/>
            <w:r w:rsidR="000C4C70" w:rsidRPr="000C4C70">
              <w:t xml:space="preserve">89% respondentu). </w:t>
            </w:r>
          </w:p>
          <w:p w14:paraId="229F6D55" w14:textId="499AB4F9" w:rsidR="000C4C70" w:rsidRPr="000C4C70" w:rsidRDefault="00E63C7C" w:rsidP="00466AA2">
            <w:pPr>
              <w:ind w:right="132" w:firstLine="284"/>
              <w:jc w:val="both"/>
            </w:pPr>
            <w:r w:rsidRPr="00B34A4E">
              <w:t xml:space="preserve">Saskaņā ar VID sniegto informāciju </w:t>
            </w:r>
            <w:proofErr w:type="gramStart"/>
            <w:r w:rsidRPr="00B34A4E">
              <w:t>2019.gadā</w:t>
            </w:r>
            <w:proofErr w:type="gramEnd"/>
            <w:r w:rsidRPr="00B34A4E">
              <w:t xml:space="preserve"> VID pieņēma 6714 labvēlīgus lēmumus par PVN maksātāja reģistrēšanu VID PVN maksātāju reģistrā, no kuriem atbilstoši personu izdarītai izvēlei 5663 jeb 84% lēmumus paziņoja EDS, 968 jeb 15% ievietoja VID mājas lapā internetā un tikai 83 jeb 1% nosūtīja pa pastu.</w:t>
            </w:r>
            <w:r w:rsidR="000C4C70" w:rsidRPr="000C4C70">
              <w:t xml:space="preserve"> Ņemot vērā minēto, ir secināms, ka jau pašlaik vairākums VID pieņemto lēmumu tiek paziņoti PVN maksātājiem, izmantojot EDS, un PVN maksātāji dod priekšroku tieši šādam lēmumu paziņošanas veidam. Ievietojot lēmumus EDS, ir iespēja paziņot PVN maksātājiem gan labvēlīgus, gan nelabvēlīgus lēmumus. Jāmin, ka iepriekš minētajā Finanšu ministrijas aptaujā tikai 5% respondentu atbalst</w:t>
            </w:r>
            <w:r w:rsidR="00B47643">
              <w:t>īja</w:t>
            </w:r>
            <w:r w:rsidR="000C4C70" w:rsidRPr="000C4C70">
              <w:t xml:space="preserve"> lēmuma par atteikumu reģistrēt VID PVN maksātāju reģistrā paziņošanu oficiālajā VID mājas lapā. Kā galvenie riski nelabvēlīgu lēmumu publiskošanai tika minēti šādas informācijas sensitīvais raksturs, kas skar personas reputāciju un ietekmē konkurētspēju. </w:t>
            </w:r>
          </w:p>
          <w:p w14:paraId="593212F2" w14:textId="6C698912" w:rsidR="000C4C70" w:rsidRPr="000C4C70" w:rsidRDefault="000C4C70" w:rsidP="00466AA2">
            <w:pPr>
              <w:ind w:right="132" w:firstLine="284"/>
              <w:jc w:val="both"/>
            </w:pPr>
            <w:proofErr w:type="gramStart"/>
            <w:r w:rsidRPr="000C4C70">
              <w:t>Tādējādi,</w:t>
            </w:r>
            <w:proofErr w:type="gramEnd"/>
            <w:r w:rsidRPr="000C4C70">
              <w:t xml:space="preserve"> ņemot vērā Valsts kontroles ieteikumu un likumprojektā “Grozījumi likumā “Par nodokļiem un nodevām””</w:t>
            </w:r>
            <w:r w:rsidR="00B433E2">
              <w:t xml:space="preserve"> (Nr.418/Lp13)</w:t>
            </w:r>
            <w:r w:rsidRPr="000C4C70">
              <w:t xml:space="preserve"> paredzētos grozījumus, kā vienīgais lēmuma par PVN maksātāja reģistrēšanu VID PVN maksātāju reģistrā paziņošanas veids ir izvēlēta EDS. </w:t>
            </w:r>
            <w:r w:rsidR="00B433E2">
              <w:t xml:space="preserve"> </w:t>
            </w:r>
          </w:p>
          <w:p w14:paraId="57E3C2EC" w14:textId="1E4591EF" w:rsidR="00246CC6" w:rsidRDefault="0061188B" w:rsidP="00466AA2">
            <w:pPr>
              <w:ind w:right="132" w:firstLine="284"/>
              <w:jc w:val="both"/>
            </w:pPr>
            <w:r>
              <w:t>1.</w:t>
            </w:r>
            <w:r w:rsidR="000C4C70" w:rsidRPr="000C4C70">
              <w:t>2.</w:t>
            </w:r>
            <w:proofErr w:type="gramStart"/>
            <w:r w:rsidR="000C4C70" w:rsidRPr="000C4C70">
              <w:t xml:space="preserve"> </w:t>
            </w:r>
            <w:r w:rsidR="00246CC6">
              <w:t xml:space="preserve"> </w:t>
            </w:r>
            <w:proofErr w:type="gramEnd"/>
            <w:r w:rsidR="00246CC6">
              <w:t>Lai vienādotu lēmumu paziņošanas kārtību, tādējādi samazinot administratīvo slogu un izmaksas,</w:t>
            </w:r>
            <w:r w:rsidR="00246CC6" w:rsidRPr="000C4C70">
              <w:t xml:space="preserve"> tiek vienādota dažādu VID izdoto lēmumu (gan labvēlīgo, gan nelabvēlīgo) paziņošanas kārtība PVN maksātāj</w:t>
            </w:r>
            <w:r w:rsidR="00246CC6">
              <w:t>iem</w:t>
            </w:r>
            <w:r w:rsidR="00246CC6" w:rsidRPr="000C4C70">
              <w:t>.</w:t>
            </w:r>
            <w:r w:rsidR="000C4C70" w:rsidRPr="000C4C70">
              <w:t xml:space="preserve"> </w:t>
            </w:r>
          </w:p>
          <w:p w14:paraId="710DA92D" w14:textId="0E0E5BC8" w:rsidR="000C4C70" w:rsidRPr="000C4C70" w:rsidRDefault="000C4C70" w:rsidP="00466AA2">
            <w:pPr>
              <w:ind w:right="132" w:firstLine="284"/>
              <w:jc w:val="both"/>
            </w:pPr>
            <w:r w:rsidRPr="000C4C70">
              <w:t>Atbilstoši spēkā esošajam regulējumam šādus lēmumus VID PVN maksātājam nosūta pa pastu vai, ievietojot tos EDS, ja PVN maksātājs ir EDS lietotājs. Analoģiski ar reģistrācijas brīdi VID PVN maksātāju reģistrā tiek noteikts arī izslēgšanas brīdis no šī reģistra:</w:t>
            </w:r>
          </w:p>
          <w:p w14:paraId="34200654" w14:textId="77777777" w:rsidR="000C4C70" w:rsidRPr="000C4C70" w:rsidRDefault="000C4C70" w:rsidP="00466AA2">
            <w:pPr>
              <w:pStyle w:val="ListParagraph"/>
              <w:numPr>
                <w:ilvl w:val="0"/>
                <w:numId w:val="26"/>
              </w:numPr>
              <w:tabs>
                <w:tab w:val="left" w:pos="709"/>
                <w:tab w:val="left" w:pos="908"/>
              </w:tabs>
              <w:ind w:right="132"/>
              <w:contextualSpacing w:val="0"/>
              <w:jc w:val="both"/>
            </w:pPr>
            <w:r w:rsidRPr="000C4C70">
              <w:t>ar otro darbdienu pēc lēmuma ievietošanas EDS;</w:t>
            </w:r>
          </w:p>
          <w:p w14:paraId="4B9F9C68" w14:textId="77777777" w:rsidR="000C4C70" w:rsidRPr="000C4C70" w:rsidRDefault="000C4C70" w:rsidP="00466AA2">
            <w:pPr>
              <w:pStyle w:val="ListParagraph"/>
              <w:numPr>
                <w:ilvl w:val="0"/>
                <w:numId w:val="26"/>
              </w:numPr>
              <w:tabs>
                <w:tab w:val="left" w:pos="709"/>
                <w:tab w:val="left" w:pos="908"/>
              </w:tabs>
              <w:ind w:right="132"/>
              <w:contextualSpacing w:val="0"/>
              <w:jc w:val="both"/>
            </w:pPr>
            <w:r w:rsidRPr="000C4C70">
              <w:t>ar septīto dienu pēc šā lēmuma nodošanas pastā.</w:t>
            </w:r>
          </w:p>
          <w:p w14:paraId="45401E18" w14:textId="77777777" w:rsidR="000C4C70" w:rsidRPr="000C4C70" w:rsidRDefault="000C4C70" w:rsidP="00466AA2">
            <w:pPr>
              <w:ind w:right="132" w:firstLine="284"/>
              <w:jc w:val="both"/>
            </w:pPr>
            <w:r w:rsidRPr="000C4C70">
              <w:lastRenderedPageBreak/>
              <w:t xml:space="preserve">Ņemot vērā, ka tiek precizēta lēmumu par reģistrāciju VID PVN maksātāju reģistrā paziņošanas kārtība, kā arī veikti grozījumi likumā “Par nodokļiem un nodevām”, ir nepieciešams PVN likumā precizēt arī regulējumu, kas attiecas uz lēmumu par izslēgšanu no VID PVN maksātāju reģistra paziņošanas kārtību, nosakot vienu lēmumu paziņošanas veidu – EDS, tādējādi minimizējot administratīvo slogu un izmaksas gan PVN maksātājiem, gan VID. Ar EDS izmantošanu nodokļu maksātājiem tiek nodrošināta informācijas pieejamība vienā veidā un vietā. </w:t>
            </w:r>
          </w:p>
          <w:p w14:paraId="47CF502A" w14:textId="6DEF9766" w:rsidR="000C4C70" w:rsidRPr="000C4C70" w:rsidRDefault="000C4C70" w:rsidP="00466AA2">
            <w:pPr>
              <w:ind w:right="132" w:firstLine="284"/>
              <w:jc w:val="both"/>
            </w:pPr>
            <w:r w:rsidRPr="000C4C70">
              <w:t>Tā kā likumā “Par nodokļiem nodevām” attiecībā uz nodo</w:t>
            </w:r>
            <w:r w:rsidR="00466AA2">
              <w:t xml:space="preserve">kļu administrēšanas procesu ir </w:t>
            </w:r>
            <w:r w:rsidRPr="000C4C70">
              <w:t xml:space="preserve">noteikts vispārējs regulējums, PVN likumā nav nepieciešams dublēt VID lēmumu paziņošanas kārtību. Tādējādi saskaņā ar plānotajiem grozījumiem likumā “Par nodokļiem un nodevām” lēmumu par reģistrāciju VID PVN maksātāju reģistrā un izslēgšanu no tā vienīgais paziņošanas veids būs to ievietošana EDS. </w:t>
            </w:r>
          </w:p>
          <w:p w14:paraId="7743461A" w14:textId="6BC8B879" w:rsidR="000C4C70" w:rsidRPr="000C4C70" w:rsidRDefault="0061188B" w:rsidP="00466AA2">
            <w:pPr>
              <w:tabs>
                <w:tab w:val="left" w:pos="709"/>
              </w:tabs>
              <w:ind w:right="132" w:firstLine="284"/>
              <w:jc w:val="both"/>
            </w:pPr>
            <w:r>
              <w:t>1.</w:t>
            </w:r>
            <w:r w:rsidR="000C4C70" w:rsidRPr="000C4C70">
              <w:t>3. Atbilstoši spēkā esošajam PVN likuma regulējumam no lēmumu par reģistrāciju VID PVN maksātāju reģistrā un izslēgšanu no tā ir atkarīga arī PVN maksātāja reģistrācijas vai izslēgšanas brīdis VID PVN maksātāja reģistrā, tas ir, brīdis,</w:t>
            </w:r>
            <w:proofErr w:type="gramStart"/>
            <w:r w:rsidR="000C4C70" w:rsidRPr="000C4C70">
              <w:t xml:space="preserve"> kad uzskata, ka lēmums ir paziņots PVN maksātājam</w:t>
            </w:r>
            <w:proofErr w:type="gramEnd"/>
            <w:r w:rsidR="000C4C70" w:rsidRPr="000C4C70">
              <w:t xml:space="preserve">. </w:t>
            </w:r>
          </w:p>
          <w:p w14:paraId="6AE55465" w14:textId="5A8BD9F2" w:rsidR="000C4C70" w:rsidRPr="000C4C70" w:rsidRDefault="000C4C70" w:rsidP="00466AA2">
            <w:pPr>
              <w:tabs>
                <w:tab w:val="left" w:pos="709"/>
              </w:tabs>
              <w:ind w:right="132" w:firstLine="284"/>
              <w:jc w:val="both"/>
            </w:pPr>
            <w:r w:rsidRPr="000C4C70">
              <w:t>PVN administrēšanas procesā reģistrācijas faktam ir būtiska nozīm</w:t>
            </w:r>
            <w:r w:rsidR="00466AA2">
              <w:t>e</w:t>
            </w:r>
            <w:r w:rsidRPr="000C4C70">
              <w:t xml:space="preserve"> un tas rada tūlītējas sekas PVN maksātājam, jo tam kļūst saistoši PVN likumā noteiktie reģistrētā PVN maksātāja pienākumi, t.sk. PVN rēķina izrakstīšana, PVN deklarācijas iesniegšana utt. Tādējādi PVN maksātājam ir svarīgi saņemt informāciju par tā reģistrācijas brīdi VID PVN maksātāju reģistrā, kas vislabāk ir realizējams, ievietojot lēmumu EDS.</w:t>
            </w:r>
          </w:p>
          <w:p w14:paraId="7AE397C1" w14:textId="4F1D9749" w:rsidR="000C4C70" w:rsidRPr="000C4C70" w:rsidRDefault="000C4C70" w:rsidP="00466AA2">
            <w:pPr>
              <w:ind w:right="132" w:firstLine="284"/>
              <w:jc w:val="both"/>
            </w:pPr>
            <w:r w:rsidRPr="000C4C70">
              <w:t xml:space="preserve"> Atbilstoši likuma “Par nodokļiem un nodevām” 7.</w:t>
            </w:r>
            <w:r w:rsidRPr="000C4C70">
              <w:rPr>
                <w:vertAlign w:val="superscript"/>
              </w:rPr>
              <w:t xml:space="preserve">2 </w:t>
            </w:r>
            <w:r w:rsidRPr="000C4C70">
              <w:t>panta otrajai daļai VID izdotais administratīvais akts (arī nelabvēlīgs administratīvais akts) un citi lēmumi, dokumenti un informācija nodokļu maksātāja</w:t>
            </w:r>
            <w:r w:rsidR="00466AA2">
              <w:t>m</w:t>
            </w:r>
            <w:r w:rsidRPr="000C4C70">
              <w:t xml:space="preserve"> ir uzskatāma par paziņotu otrajā darba dienā pēc tās ievietošanas EDS. Atbilstoši labas pārvaldības principam, lai nedublētu tiesību normas, no PVN likuma būtu svītrojams identisks regulējums attiecībā uz lēmuma paziņošanas brīdi PVN maksātāja reģistrēšanai VID PVN maksātāju reģistrā vai izslēgšanai no tā, bet </w:t>
            </w:r>
            <w:r w:rsidR="00B433E2">
              <w:t>ir saglabājama</w:t>
            </w:r>
            <w:r w:rsidR="00B433E2" w:rsidRPr="000C4C70">
              <w:t xml:space="preserve"> </w:t>
            </w:r>
            <w:r w:rsidRPr="000C4C70">
              <w:t xml:space="preserve">tikai atsauce uz likumā “Par nodokļiem un nodevām” </w:t>
            </w:r>
            <w:proofErr w:type="gramStart"/>
            <w:r w:rsidRPr="000C4C70">
              <w:t xml:space="preserve">noteikto </w:t>
            </w:r>
            <w:r w:rsidR="00B47643">
              <w:t>lēmumu</w:t>
            </w:r>
            <w:proofErr w:type="gramEnd"/>
            <w:r w:rsidR="00B47643">
              <w:t xml:space="preserve"> paziņošanas</w:t>
            </w:r>
            <w:r w:rsidRPr="000C4C70">
              <w:t xml:space="preserve"> brīdi. </w:t>
            </w:r>
          </w:p>
          <w:p w14:paraId="0841CB11" w14:textId="591CABD0" w:rsidR="000C4C70" w:rsidRPr="000C4C70" w:rsidRDefault="0061188B" w:rsidP="005C224C">
            <w:pPr>
              <w:ind w:right="132" w:firstLine="284"/>
              <w:jc w:val="both"/>
            </w:pPr>
            <w:r>
              <w:t>1.</w:t>
            </w:r>
            <w:r w:rsidR="00700FD8">
              <w:t>4.</w:t>
            </w:r>
            <w:r w:rsidR="00B433E2" w:rsidRPr="000C4C70">
              <w:t xml:space="preserve"> </w:t>
            </w:r>
            <w:r w:rsidR="005C224C">
              <w:t>Likumā “Par nodokļiem un nodevām” (</w:t>
            </w:r>
            <w:proofErr w:type="gramStart"/>
            <w:r w:rsidR="005C224C" w:rsidRPr="000C4C70">
              <w:t>15.panta</w:t>
            </w:r>
            <w:proofErr w:type="gramEnd"/>
            <w:r w:rsidR="005C224C" w:rsidRPr="000C4C70">
              <w:t xml:space="preserve"> pirmās daļas 3.punktā</w:t>
            </w:r>
            <w:r w:rsidR="005C224C">
              <w:t xml:space="preserve">) </w:t>
            </w:r>
            <w:r w:rsidR="005C224C" w:rsidRPr="000C4C70">
              <w:t xml:space="preserve">ir noteikts, ka </w:t>
            </w:r>
            <w:r w:rsidR="005C224C">
              <w:t xml:space="preserve">visu </w:t>
            </w:r>
            <w:r w:rsidR="005C224C" w:rsidRPr="000C4C70">
              <w:t xml:space="preserve">nodokļu maksātāju </w:t>
            </w:r>
            <w:r w:rsidR="005C224C">
              <w:t xml:space="preserve">(tai skaitā reģistrēto PVN maksātāju) </w:t>
            </w:r>
            <w:r w:rsidR="005C224C" w:rsidRPr="000C4C70">
              <w:t>pienākums ir, izmantojot EDS, iesniegt VID nodokļu deklarācijas un informatīvās deklarācijas</w:t>
            </w:r>
            <w:r w:rsidR="005C224C">
              <w:t xml:space="preserve">. </w:t>
            </w:r>
            <w:r w:rsidR="00B433E2" w:rsidRPr="000C4C70">
              <w:t>Lai paātrinātu informācijas apriti un samazinātu administratīvo slogu</w:t>
            </w:r>
            <w:r w:rsidR="00B433E2">
              <w:t xml:space="preserve"> ar</w:t>
            </w:r>
            <w:r w:rsidR="00B433E2" w:rsidRPr="000C4C70">
              <w:t xml:space="preserve"> likumprojektu “Grozījumi likumā “Par nodokļiem un nodevām””</w:t>
            </w:r>
            <w:r w:rsidR="00B433E2">
              <w:t xml:space="preserve"> (Nr.418/Lp13</w:t>
            </w:r>
            <w:r w:rsidR="005C224C">
              <w:t xml:space="preserve">) </w:t>
            </w:r>
            <w:r w:rsidR="000C4C70" w:rsidRPr="000C4C70">
              <w:t>ir paredzēt</w:t>
            </w:r>
            <w:r w:rsidR="005C224C">
              <w:t>s</w:t>
            </w:r>
            <w:r w:rsidR="000C4C70" w:rsidRPr="000C4C70">
              <w:t xml:space="preserve"> līdzīgu </w:t>
            </w:r>
            <w:r w:rsidR="00B433E2">
              <w:t>kārtību</w:t>
            </w:r>
            <w:r w:rsidR="00B433E2" w:rsidRPr="000C4C70">
              <w:t xml:space="preserve"> </w:t>
            </w:r>
            <w:r w:rsidR="000C4C70" w:rsidRPr="000C4C70">
              <w:t>ieviest arī attiecībā uz iesniegumu, kas adresēti VID un kas saistīti ar nodokļu administrēšanu, iesniegšanas kārtību</w:t>
            </w:r>
            <w:r w:rsidR="00B433E2">
              <w:t xml:space="preserve">, </w:t>
            </w:r>
            <w:proofErr w:type="gramStart"/>
            <w:r w:rsidR="00B433E2">
              <w:t>tajā pat laikā</w:t>
            </w:r>
            <w:proofErr w:type="gramEnd"/>
            <w:r w:rsidR="00B433E2">
              <w:t xml:space="preserve"> paredzot izņēmumu attiecībā uz fiziskās personas, kas neveic saimniecisko darbību, iesniegumu iesniegšanu</w:t>
            </w:r>
            <w:r w:rsidR="000C4C70" w:rsidRPr="000C4C70">
              <w:t>. Līdz ar to ar minēt</w:t>
            </w:r>
            <w:r w:rsidR="005C224C">
              <w:t>ie grozījumi</w:t>
            </w:r>
            <w:r w:rsidR="000C4C70" w:rsidRPr="000C4C70">
              <w:t xml:space="preserve"> </w:t>
            </w:r>
            <w:r w:rsidR="005C224C">
              <w:t>paredz</w:t>
            </w:r>
            <w:r w:rsidR="000C4C70" w:rsidRPr="000C4C70">
              <w:t xml:space="preserve">, ka turpmāk visa saziņa starp personām, kas veic saimniecisko darbību, un VID notiks elektroniskā veidā, izmantojot EDS. Ņemot vērā minēto, PVN likumā nav nepieciešams speciāls regulējums, kas nosaka iesniegumu, informācijas un deklarāciju iesniegšanas veidu, jo tas ir </w:t>
            </w:r>
            <w:r w:rsidR="008077D5">
              <w:t>atrunāts</w:t>
            </w:r>
            <w:r w:rsidR="008077D5" w:rsidRPr="000C4C70">
              <w:t xml:space="preserve"> </w:t>
            </w:r>
            <w:r w:rsidR="000C4C70" w:rsidRPr="000C4C70">
              <w:t>likumā “Par nodokļiem un nodevām”.</w:t>
            </w:r>
          </w:p>
          <w:p w14:paraId="5F17F9B4" w14:textId="1DCC57C9" w:rsidR="000C4C70" w:rsidRPr="000C4C70" w:rsidRDefault="0061188B" w:rsidP="00466AA2">
            <w:pPr>
              <w:ind w:right="132" w:firstLine="284"/>
              <w:jc w:val="both"/>
            </w:pPr>
            <w:r>
              <w:t>1.</w:t>
            </w:r>
            <w:r w:rsidR="000C4C70" w:rsidRPr="000C4C70">
              <w:t>5. Attiecībā uz PVN grupu PVN likumā ir noteikts īpašs regulējums. Tādējādi ar veicamajiem grozījumiem mainās arī noteikumi, kas attiecas uz PVN grupas saziņas kārtību ar VID. Pašlaik PVN likumā ir noteikts, ka VID lēmumus, kas saistīti ar PVN grupas reģistrāciju VID PVN maksātāju reģistrā vai izslēgšanu no tā, paziņoja PVN grupas galvenajam uzņēmumam pa pastu. Ņemot vērā</w:t>
            </w:r>
            <w:proofErr w:type="gramStart"/>
            <w:r w:rsidR="000C4C70" w:rsidRPr="000C4C70">
              <w:t xml:space="preserve"> </w:t>
            </w:r>
            <w:r w:rsidR="008077D5" w:rsidRPr="000C4C70">
              <w:t xml:space="preserve"> </w:t>
            </w:r>
            <w:proofErr w:type="gramEnd"/>
            <w:r w:rsidR="008077D5" w:rsidRPr="000C4C70">
              <w:t xml:space="preserve">likumprojektu “Grozījumi likumā “Par nodokļiem un </w:t>
            </w:r>
            <w:r w:rsidR="008077D5" w:rsidRPr="000C4C70">
              <w:lastRenderedPageBreak/>
              <w:t>nodevām”</w:t>
            </w:r>
            <w:r w:rsidR="000C4C70" w:rsidRPr="000C4C70">
              <w:t>”</w:t>
            </w:r>
            <w:r w:rsidR="002E0E3E">
              <w:t xml:space="preserve"> (Nr.418/Lp13)</w:t>
            </w:r>
            <w:r w:rsidR="000C4C70" w:rsidRPr="000C4C70">
              <w:t xml:space="preserve">, arī PVN grupas saziņai ar VID būtu jānotiek tikai elektroniskā veidā. Līdz ar to PVN likumā būtu nepieciešams tikai atrunāt, ka lēmumus saistītos ar PVN grupas reģistrāciju VID nosūta PVN grupas galvenajam uzņēmumam. Savukārt atbilstoši </w:t>
            </w:r>
            <w:r w:rsidR="008077D5" w:rsidRPr="000C4C70">
              <w:t xml:space="preserve"> </w:t>
            </w:r>
            <w:r w:rsidR="008077D5">
              <w:t>likumprojektam</w:t>
            </w:r>
            <w:r w:rsidR="008077D5" w:rsidRPr="000C4C70">
              <w:t xml:space="preserve"> “Grozījumi likumā “Par nodokļiem un nodevām”</w:t>
            </w:r>
            <w:r w:rsidR="000C4C70" w:rsidRPr="000C4C70">
              <w:t>”</w:t>
            </w:r>
            <w:r w:rsidR="002E0E3E">
              <w:t xml:space="preserve"> (Nr.418/Lp13)</w:t>
            </w:r>
            <w:r w:rsidR="000C4C70" w:rsidRPr="000C4C70">
              <w:t xml:space="preserve"> PVN grupas galvenā uzņēmuma saziņai ar VID ir jānotiek elektroniski, izmantojot EDS. </w:t>
            </w:r>
          </w:p>
          <w:p w14:paraId="35D366E0" w14:textId="1B17E1F4" w:rsidR="000C4C70" w:rsidRPr="000C4C70" w:rsidRDefault="000C4C70" w:rsidP="00466AA2">
            <w:pPr>
              <w:ind w:right="132" w:firstLine="284"/>
              <w:jc w:val="both"/>
            </w:pPr>
            <w:r w:rsidRPr="000C4C70">
              <w:t>Tāpat ir precizējama arī PVN grupas iesniegumu par jauna dalībnieka pievienošanu PVN grupai vai par dalībnieka izslēgšanu no PVN grupas iesniegšanas kārtība, nosakot, ka minēto iesniegumu ar grozītu PVN grupas dibināšanas līgumu iesniedz PVN grupas galvenais uzņēmums. Turpmāk nebūs nepieciešams, lai iesniegumu paraksta gan PVN galvenais uzņēmums, gan pievienojamais vai izslēdzamais PVN grupas da</w:t>
            </w:r>
            <w:r w:rsidR="00466AA2">
              <w:t>lībnieks, jo galvenajam uzņēmumam</w:t>
            </w:r>
            <w:r w:rsidRPr="000C4C70">
              <w:t xml:space="preserve"> tiek uzticēta saziņa ar VID un grozītajā PVN grupas dibināšanas līgumā PVN grupas dalībnieki ir izteikuši savu gribu. </w:t>
            </w:r>
          </w:p>
          <w:p w14:paraId="0A1E7C37" w14:textId="77777777" w:rsidR="000C4C70" w:rsidRPr="000C4C70" w:rsidRDefault="000C4C70" w:rsidP="00466AA2">
            <w:pPr>
              <w:ind w:right="132" w:firstLine="284"/>
              <w:jc w:val="both"/>
              <w:rPr>
                <w:b/>
              </w:rPr>
            </w:pPr>
            <w:r w:rsidRPr="000C4C70">
              <w:t>Ņemot vērā minēto, ir pārskatāmi visi panti, kur minēti PVN grupas dalībnieku vai galvenā uzņēmuma pienākumi.</w:t>
            </w:r>
          </w:p>
          <w:p w14:paraId="3F583B2F" w14:textId="77777777" w:rsidR="0061188B" w:rsidRDefault="0061188B" w:rsidP="004204BC">
            <w:pPr>
              <w:ind w:firstLine="284"/>
              <w:jc w:val="both"/>
              <w:rPr>
                <w:b/>
                <w:i/>
              </w:rPr>
            </w:pPr>
          </w:p>
          <w:p w14:paraId="43A641FB" w14:textId="1711B4CB" w:rsidR="004204BC" w:rsidRPr="00EC02EC" w:rsidRDefault="004204BC" w:rsidP="00EC02EC">
            <w:pPr>
              <w:pStyle w:val="ListParagraph"/>
              <w:numPr>
                <w:ilvl w:val="0"/>
                <w:numId w:val="24"/>
              </w:numPr>
              <w:jc w:val="both"/>
              <w:rPr>
                <w:b/>
                <w:i/>
              </w:rPr>
            </w:pPr>
            <w:r w:rsidRPr="00EC02EC">
              <w:rPr>
                <w:b/>
                <w:i/>
              </w:rPr>
              <w:t>PVN pārmaksas atmaksas kārtības pilnveidošana</w:t>
            </w:r>
          </w:p>
          <w:p w14:paraId="2C32D02E" w14:textId="3044DF64" w:rsidR="00565772" w:rsidRPr="00565772" w:rsidRDefault="00565772" w:rsidP="00466AA2">
            <w:pPr>
              <w:ind w:right="132" w:firstLine="284"/>
              <w:jc w:val="both"/>
            </w:pPr>
            <w:r w:rsidRPr="00565772">
              <w:t xml:space="preserve">Veicamo grozījumu mērķis ir pilnveidot </w:t>
            </w:r>
            <w:r>
              <w:t xml:space="preserve">PVN pārmaksas atmaksas kārtību, ievērojot Latvijas Republikas Satversmes tiesas spriedumā lietā Nr.2017-12-01 un </w:t>
            </w:r>
            <w:r w:rsidRPr="00C60879">
              <w:rPr>
                <w:iCs/>
                <w:lang w:eastAsia="en-US"/>
              </w:rPr>
              <w:t>Augstākās tiesas Administratīvo lietu departamenta spriedum</w:t>
            </w:r>
            <w:r>
              <w:rPr>
                <w:iCs/>
                <w:lang w:eastAsia="en-US"/>
              </w:rPr>
              <w:t>ā</w:t>
            </w:r>
            <w:r w:rsidRPr="00C60879">
              <w:rPr>
                <w:iCs/>
                <w:lang w:eastAsia="en-US"/>
              </w:rPr>
              <w:t xml:space="preserve"> lietā Nr.SKA-95/2015 nolemt</w:t>
            </w:r>
            <w:r>
              <w:rPr>
                <w:iCs/>
                <w:lang w:eastAsia="en-US"/>
              </w:rPr>
              <w:t>o</w:t>
            </w:r>
            <w:r w:rsidR="00840BFE">
              <w:rPr>
                <w:iCs/>
                <w:lang w:eastAsia="en-US"/>
              </w:rPr>
              <w:t>.</w:t>
            </w:r>
          </w:p>
          <w:p w14:paraId="11A7FD32" w14:textId="0C70917F" w:rsidR="0063135E" w:rsidRDefault="0063135E" w:rsidP="00466AA2">
            <w:pPr>
              <w:ind w:right="132" w:firstLine="284"/>
              <w:jc w:val="both"/>
            </w:pPr>
            <w:r>
              <w:t xml:space="preserve">Padomes </w:t>
            </w:r>
            <w:proofErr w:type="gramStart"/>
            <w:r>
              <w:t>2006.gada</w:t>
            </w:r>
            <w:proofErr w:type="gramEnd"/>
            <w:r>
              <w:t xml:space="preserve"> 28.novembra direktīvas 2006/112/EK par kopējo pievienotās vērtības nodokļa sistēmu (turpmāk - Direktīva 2006/112/EK) 183.pants piešķir dalībvalstīm tiesības nacionālajā regulējumā noteikt nosacījumus, kādiem īstenojoties, </w:t>
            </w:r>
            <w:r w:rsidRPr="008632FB">
              <w:t xml:space="preserve">atskaitīšanas summas </w:t>
            </w:r>
            <w:r>
              <w:t xml:space="preserve">un valsts budžetā maksājamās </w:t>
            </w:r>
            <w:r w:rsidR="00B14C36">
              <w:t xml:space="preserve">PVN </w:t>
            </w:r>
            <w:r>
              <w:t xml:space="preserve">summas </w:t>
            </w:r>
            <w:r w:rsidRPr="008632FB">
              <w:t>pārpalikumu vai nu pārnest uz nākamo periodu, vai arī veikt atmaksāšanu.</w:t>
            </w:r>
          </w:p>
          <w:p w14:paraId="74A92AD2" w14:textId="0D9010E8" w:rsidR="0063135E" w:rsidRDefault="00125686" w:rsidP="00466AA2">
            <w:pPr>
              <w:ind w:right="132" w:firstLine="284"/>
              <w:jc w:val="both"/>
            </w:pPr>
            <w:r>
              <w:t>2.</w:t>
            </w:r>
            <w:r w:rsidR="0063135E">
              <w:t xml:space="preserve">1. Atbilstoši </w:t>
            </w:r>
            <w:r w:rsidR="00712C3A">
              <w:t xml:space="preserve">PVN likuma </w:t>
            </w:r>
            <w:r w:rsidR="0063135E">
              <w:t xml:space="preserve">regulējumam VID, veicot nodokļu administrēšanas pasākumus, izvērtē PVN pārmaksas rašanās pamatotību un pārceļ apstiprināto pārmaksāto PVN summu </w:t>
            </w:r>
            <w:r w:rsidR="0063135E" w:rsidRPr="00F76BD5">
              <w:t>uz nākamo taksācijas periodu līdz taksācijas gada beigām</w:t>
            </w:r>
            <w:r w:rsidR="0063135E">
              <w:t xml:space="preserve"> (</w:t>
            </w:r>
            <w:r w:rsidR="0063135E" w:rsidRPr="00F76BD5">
              <w:t xml:space="preserve">sedzot nākamajos taksācijas periodos valsts budžetā maksājamo </w:t>
            </w:r>
            <w:r w:rsidR="0063135E">
              <w:t>PVN summu)</w:t>
            </w:r>
            <w:r w:rsidR="0063135E" w:rsidRPr="00F76BD5">
              <w:t xml:space="preserve">, 30 dienu laikā </w:t>
            </w:r>
            <w:r w:rsidR="0063135E">
              <w:t xml:space="preserve">no PVN deklarācijas vai precizētās deklarācijas iesniegšanas dienas. Tādējādi, izņemot PVN likuma 109.panta piektajā daļā noteiktos “ātras” PVN pārmaksas atmaksas gadījumus, pārmaksāto PVN summu atmaksā reģistrētā PVN maksātāja norādītā bankas kontā taksācijas gada beigās. Latvijas Republikas Satversmes tiesa </w:t>
            </w:r>
            <w:r w:rsidR="0063135E" w:rsidRPr="00EE41D6">
              <w:t>2018.gada 11.aprīļa sprieduma lietā Nr.2017-12-01 ir atzinusi likuma “Par pievienotās vērtības nodokli” (redakcijā, kas bija spēkā no 2010.gada 1.janvāra līdz 2012.gada 31.decembrim) 12.panta 12.</w:t>
            </w:r>
            <w:r w:rsidR="0063135E" w:rsidRPr="00371F0A">
              <w:rPr>
                <w:vertAlign w:val="superscript"/>
              </w:rPr>
              <w:t>3</w:t>
            </w:r>
            <w:r w:rsidR="0063135E" w:rsidRPr="00EE41D6">
              <w:t xml:space="preserve"> un 12.</w:t>
            </w:r>
            <w:r w:rsidR="0063135E" w:rsidRPr="00371F0A">
              <w:rPr>
                <w:vertAlign w:val="superscript"/>
              </w:rPr>
              <w:t>5</w:t>
            </w:r>
            <w:r w:rsidR="0063135E" w:rsidRPr="00EE41D6">
              <w:t> daļu, ciktāl tās nenodrošina PVN pārmaksas atgriešanu nodokļu maksātājam saprātīgā termiņā, par neatbilstošām Latvijas Republikas Satversmes 105.pantam. Ņemot vērā to, ka</w:t>
            </w:r>
            <w:r w:rsidR="0063135E">
              <w:t xml:space="preserve"> </w:t>
            </w:r>
            <w:bookmarkStart w:id="0" w:name="n-452826"/>
            <w:bookmarkStart w:id="1" w:name="n12"/>
            <w:bookmarkEnd w:id="0"/>
            <w:bookmarkEnd w:id="1"/>
            <w:r w:rsidR="0063135E">
              <w:t xml:space="preserve">PVN likuma </w:t>
            </w:r>
            <w:r w:rsidR="0063135E" w:rsidRPr="00EE41D6">
              <w:t>XII nodaļā ir pārņemta likuma “Par pievienotās vērtības nodokli” (redakcijā, kas bija spēkā no 2010.gada 1.janvāra līdz 2012.gada 31.decembrim) 12.panta 12.</w:t>
            </w:r>
            <w:r w:rsidR="0063135E" w:rsidRPr="00371F0A">
              <w:rPr>
                <w:vertAlign w:val="superscript"/>
              </w:rPr>
              <w:t>3</w:t>
            </w:r>
            <w:r w:rsidR="0063135E" w:rsidRPr="00EE41D6">
              <w:t xml:space="preserve"> un 12.</w:t>
            </w:r>
            <w:r w:rsidR="0063135E" w:rsidRPr="00371F0A">
              <w:rPr>
                <w:vertAlign w:val="superscript"/>
              </w:rPr>
              <w:t>5</w:t>
            </w:r>
            <w:r w:rsidR="0063135E">
              <w:t xml:space="preserve"> daļas būtība, </w:t>
            </w:r>
            <w:r w:rsidR="0063135E" w:rsidRPr="00EE41D6">
              <w:t xml:space="preserve">ir </w:t>
            </w:r>
            <w:r w:rsidR="0063135E">
              <w:t>nepieciešams veikt</w:t>
            </w:r>
            <w:r w:rsidR="0063135E" w:rsidRPr="00EE41D6">
              <w:t xml:space="preserve"> grozījum</w:t>
            </w:r>
            <w:r w:rsidR="0063135E">
              <w:t>us</w:t>
            </w:r>
            <w:r w:rsidR="0063135E" w:rsidRPr="00EE41D6">
              <w:t xml:space="preserve"> atbilstoši </w:t>
            </w:r>
            <w:r w:rsidR="0063135E">
              <w:t xml:space="preserve">Latvijas Republikas </w:t>
            </w:r>
            <w:r w:rsidR="0063135E" w:rsidRPr="00EE41D6">
              <w:t xml:space="preserve">Satversmes tiesas 2018.gada 11.aprīļa sprieduma </w:t>
            </w:r>
            <w:r w:rsidR="0063135E">
              <w:t xml:space="preserve">lietā Nr.2017-12-01 secinātajam, paredzot VID pienākumu veikt </w:t>
            </w:r>
            <w:r w:rsidR="0063135E" w:rsidRPr="00EE41D6">
              <w:t>regulāru PVN pārmaksas atmaksu par taksācijas periodu, nepārnesot administratīvo slogu uz taksācijas perioda beigām</w:t>
            </w:r>
            <w:r w:rsidR="0063135E">
              <w:t>.</w:t>
            </w:r>
          </w:p>
          <w:p w14:paraId="41B8D0AD" w14:textId="5F589A8D" w:rsidR="006C5819" w:rsidRDefault="00125686" w:rsidP="00466AA2">
            <w:pPr>
              <w:ind w:right="132" w:firstLine="284"/>
              <w:jc w:val="both"/>
            </w:pPr>
            <w:r>
              <w:t>2.</w:t>
            </w:r>
            <w:r w:rsidR="006C5819">
              <w:t xml:space="preserve">2. PVN likuma </w:t>
            </w:r>
            <w:proofErr w:type="gramStart"/>
            <w:r w:rsidR="006C5819">
              <w:t>110.pantā</w:t>
            </w:r>
            <w:proofErr w:type="gramEnd"/>
            <w:r w:rsidR="006C5819">
              <w:t xml:space="preserve"> ir īpaši atrunāti </w:t>
            </w:r>
            <w:r w:rsidR="00643A67">
              <w:t xml:space="preserve">vairāki </w:t>
            </w:r>
            <w:r w:rsidR="006C5819">
              <w:t xml:space="preserve">gadījumi, kad VID ir tiesības pagarināt vispārīgu PVN pārmaksas izvērtēšanas 30 dienu termiņu, piemēram, </w:t>
            </w:r>
            <w:r w:rsidR="006C5819" w:rsidRPr="00B81E01">
              <w:t xml:space="preserve">pieņemts lēmums par nodokļu revīzijas (audita) uzsākšanu </w:t>
            </w:r>
            <w:r w:rsidR="006C5819" w:rsidRPr="00B81E01">
              <w:lastRenderedPageBreak/>
              <w:t>attiecībā uz tiem darījumiem, kuru pārbaudei nepieciešama papildu informācija, pieprasīta papildu informācija, kas ir nepieciešama pārmaksātās PVN summas apstiprināšanai, vai reģistrēts PVN maksātājs nevar dokumentāri pierādīt PVN 0 procentu likmes piemērošanas pamatotību.</w:t>
            </w:r>
            <w:r w:rsidR="006C5819">
              <w:t xml:space="preserve"> Saskaņā ar Augstākās tiesas Administratīvo lietu departamenta 2015.gada 7.decembra spriedumu lietā Nr.SKA-95/2015 VID ir pienākums aprēķināt atmaksājamās summas palielinājumu</w:t>
            </w:r>
            <w:r w:rsidR="006C5819">
              <w:rPr>
                <w:rStyle w:val="FootnoteReference"/>
              </w:rPr>
              <w:footnoteReference w:id="1"/>
            </w:r>
            <w:r w:rsidR="006C5819">
              <w:t xml:space="preserve">, skaitot ar nākamo dienu pēc parastā atmaksas termiņa iestāšanās, </w:t>
            </w:r>
            <w:r w:rsidR="00643A67">
              <w:t>proti,</w:t>
            </w:r>
            <w:r w:rsidR="006C5819">
              <w:t xml:space="preserve"> ar 31.dienu pēc deklarācijas iesniegšanas. Turklāt tiesiski šķēršļi, kas bija par pamatu atmaksas aizkavēšanai, piemēram, nodokļu revīzijas (audita) uzsākšana, kurā deklarētās PVN pārmaksas pamatotība tiek vērtēta, nav pietiekams pamats, lai neveiktu atmaksājamās summas palielinājumu. Minēto Augstākās tiesas atziņu sūdzību lietās par nepareizi aprēķinātās atmaksājamās summas palielinājumu vienveidīgi piemēro Administratīvās rajona tiesas, ar parasto atmaksas termiņu saprotot 30</w:t>
            </w:r>
            <w:r w:rsidR="00643A67">
              <w:t xml:space="preserve"> </w:t>
            </w:r>
            <w:r w:rsidR="006C5819">
              <w:t>dien</w:t>
            </w:r>
            <w:r w:rsidR="00643A67">
              <w:t>as</w:t>
            </w:r>
            <w:r w:rsidR="006C5819">
              <w:t xml:space="preserve"> no deklarācijas iesniegšanas, </w:t>
            </w:r>
            <w:r w:rsidR="00643A67">
              <w:t>neieskaitot parastajā termiņā ar PVN likumu noteiktos 30 dienu termiņa pagarinājuma gadījumus</w:t>
            </w:r>
            <w:r w:rsidR="006C5819">
              <w:t xml:space="preserve">. </w:t>
            </w:r>
            <w:r w:rsidR="006C5819" w:rsidRPr="0004013D">
              <w:t>Saskaņā ar Administratīvās rajona tiesas lēmumu 2018.gadā pieteicējam atmaksāta summa 18 366,59</w:t>
            </w:r>
            <w:r w:rsidR="006C5819">
              <w:t> </w:t>
            </w:r>
            <w:r w:rsidR="006C5819" w:rsidRPr="0004013D">
              <w:rPr>
                <w:i/>
              </w:rPr>
              <w:t>euro</w:t>
            </w:r>
            <w:r w:rsidR="006C5819" w:rsidRPr="0004013D">
              <w:t xml:space="preserve"> apmērā.</w:t>
            </w:r>
          </w:p>
          <w:p w14:paraId="7F08DCCB" w14:textId="77777777" w:rsidR="006C5819" w:rsidRDefault="006C5819" w:rsidP="006C5819">
            <w:pPr>
              <w:autoSpaceDE w:val="0"/>
              <w:autoSpaceDN w:val="0"/>
              <w:adjustRightInd w:val="0"/>
              <w:ind w:left="58" w:right="132" w:firstLine="425"/>
              <w:jc w:val="both"/>
            </w:pPr>
          </w:p>
          <w:p w14:paraId="120B56AE" w14:textId="77777777" w:rsidR="006C5819" w:rsidRDefault="006C5819" w:rsidP="006C5819">
            <w:pPr>
              <w:autoSpaceDE w:val="0"/>
              <w:autoSpaceDN w:val="0"/>
              <w:adjustRightInd w:val="0"/>
              <w:ind w:left="58" w:right="132" w:firstLine="425"/>
              <w:jc w:val="center"/>
            </w:pPr>
            <w:r>
              <w:t>VID veiktais PVN pārmaksas izvērtējums</w:t>
            </w:r>
          </w:p>
          <w:tbl>
            <w:tblPr>
              <w:tblStyle w:val="TableGrid"/>
              <w:tblW w:w="6926" w:type="dxa"/>
              <w:tblLook w:val="04A0" w:firstRow="1" w:lastRow="0" w:firstColumn="1" w:lastColumn="0" w:noHBand="0" w:noVBand="1"/>
            </w:tblPr>
            <w:tblGrid>
              <w:gridCol w:w="844"/>
              <w:gridCol w:w="1277"/>
              <w:gridCol w:w="1064"/>
              <w:gridCol w:w="734"/>
              <w:gridCol w:w="1277"/>
              <w:gridCol w:w="1064"/>
              <w:gridCol w:w="666"/>
            </w:tblGrid>
            <w:tr w:rsidR="006C5819" w14:paraId="41C4344B" w14:textId="77777777" w:rsidTr="00B14C36">
              <w:tc>
                <w:tcPr>
                  <w:tcW w:w="886" w:type="dxa"/>
                </w:tcPr>
                <w:p w14:paraId="5808F94C" w14:textId="77777777" w:rsidR="006C5819" w:rsidRPr="00C67A90" w:rsidRDefault="006C5819" w:rsidP="001A7298">
                  <w:pPr>
                    <w:framePr w:hSpace="180" w:wrap="around" w:vAnchor="text" w:hAnchor="margin" w:y="106"/>
                    <w:autoSpaceDE w:val="0"/>
                    <w:autoSpaceDN w:val="0"/>
                    <w:adjustRightInd w:val="0"/>
                    <w:ind w:right="15"/>
                    <w:rPr>
                      <w:sz w:val="22"/>
                      <w:szCs w:val="22"/>
                    </w:rPr>
                  </w:pPr>
                </w:p>
              </w:tc>
              <w:tc>
                <w:tcPr>
                  <w:tcW w:w="3075" w:type="dxa"/>
                  <w:gridSpan w:val="3"/>
                </w:tcPr>
                <w:p w14:paraId="6B50B944" w14:textId="77777777" w:rsidR="006C5819" w:rsidRPr="009700BE" w:rsidRDefault="006C5819" w:rsidP="001A7298">
                  <w:pPr>
                    <w:framePr w:hSpace="180" w:wrap="around" w:vAnchor="text" w:hAnchor="margin" w:y="106"/>
                    <w:autoSpaceDE w:val="0"/>
                    <w:autoSpaceDN w:val="0"/>
                    <w:adjustRightInd w:val="0"/>
                    <w:ind w:right="132"/>
                    <w:jc w:val="center"/>
                    <w:rPr>
                      <w:b/>
                      <w:sz w:val="22"/>
                      <w:szCs w:val="22"/>
                    </w:rPr>
                  </w:pPr>
                  <w:proofErr w:type="gramStart"/>
                  <w:r w:rsidRPr="009700BE">
                    <w:rPr>
                      <w:b/>
                      <w:sz w:val="22"/>
                      <w:szCs w:val="22"/>
                    </w:rPr>
                    <w:t>2018.gads</w:t>
                  </w:r>
                  <w:proofErr w:type="gramEnd"/>
                </w:p>
              </w:tc>
              <w:tc>
                <w:tcPr>
                  <w:tcW w:w="2965" w:type="dxa"/>
                  <w:gridSpan w:val="3"/>
                </w:tcPr>
                <w:p w14:paraId="12E04BAF" w14:textId="5907E79D" w:rsidR="006C5819" w:rsidRPr="009700BE" w:rsidRDefault="003260FC" w:rsidP="001A7298">
                  <w:pPr>
                    <w:framePr w:hSpace="180" w:wrap="around" w:vAnchor="text" w:hAnchor="margin" w:y="106"/>
                    <w:autoSpaceDE w:val="0"/>
                    <w:autoSpaceDN w:val="0"/>
                    <w:adjustRightInd w:val="0"/>
                    <w:ind w:right="132"/>
                    <w:jc w:val="center"/>
                    <w:rPr>
                      <w:b/>
                      <w:sz w:val="22"/>
                      <w:szCs w:val="22"/>
                    </w:rPr>
                  </w:pPr>
                  <w:proofErr w:type="gramStart"/>
                  <w:r>
                    <w:rPr>
                      <w:b/>
                      <w:sz w:val="22"/>
                      <w:szCs w:val="22"/>
                    </w:rPr>
                    <w:t>2019.gads</w:t>
                  </w:r>
                  <w:proofErr w:type="gramEnd"/>
                </w:p>
              </w:tc>
            </w:tr>
            <w:tr w:rsidR="006C5819" w14:paraId="2B052E5D" w14:textId="77777777" w:rsidTr="00B14C36">
              <w:tc>
                <w:tcPr>
                  <w:tcW w:w="886" w:type="dxa"/>
                </w:tcPr>
                <w:p w14:paraId="1F16F22C" w14:textId="77777777" w:rsidR="006C5819" w:rsidRPr="00C67A90" w:rsidRDefault="006C5819" w:rsidP="001A7298">
                  <w:pPr>
                    <w:framePr w:hSpace="180" w:wrap="around" w:vAnchor="text" w:hAnchor="margin" w:y="106"/>
                    <w:autoSpaceDE w:val="0"/>
                    <w:autoSpaceDN w:val="0"/>
                    <w:adjustRightInd w:val="0"/>
                    <w:ind w:right="15"/>
                    <w:jc w:val="center"/>
                    <w:rPr>
                      <w:sz w:val="22"/>
                      <w:szCs w:val="22"/>
                    </w:rPr>
                  </w:pPr>
                  <w:r w:rsidRPr="00C67A90">
                    <w:rPr>
                      <w:sz w:val="22"/>
                      <w:szCs w:val="22"/>
                    </w:rPr>
                    <w:t>Dienu skaits</w:t>
                  </w:r>
                </w:p>
              </w:tc>
              <w:tc>
                <w:tcPr>
                  <w:tcW w:w="1277" w:type="dxa"/>
                </w:tcPr>
                <w:p w14:paraId="4E553C0E" w14:textId="77777777" w:rsidR="006C5819" w:rsidRPr="00C67A90" w:rsidRDefault="006C5819" w:rsidP="001A7298">
                  <w:pPr>
                    <w:framePr w:hSpace="180" w:wrap="around" w:vAnchor="text" w:hAnchor="margin" w:y="106"/>
                    <w:autoSpaceDE w:val="0"/>
                    <w:autoSpaceDN w:val="0"/>
                    <w:adjustRightInd w:val="0"/>
                    <w:ind w:right="132"/>
                    <w:jc w:val="center"/>
                    <w:rPr>
                      <w:sz w:val="22"/>
                      <w:szCs w:val="22"/>
                    </w:rPr>
                  </w:pPr>
                  <w:r w:rsidRPr="00C67A90">
                    <w:rPr>
                      <w:sz w:val="22"/>
                      <w:szCs w:val="22"/>
                    </w:rPr>
                    <w:t xml:space="preserve">PVN pārmaksas summa, </w:t>
                  </w:r>
                  <w:r w:rsidRPr="00C67A90">
                    <w:rPr>
                      <w:i/>
                      <w:sz w:val="22"/>
                      <w:szCs w:val="22"/>
                    </w:rPr>
                    <w:t>euro</w:t>
                  </w:r>
                  <w:r w:rsidRPr="00C67A90">
                    <w:rPr>
                      <w:sz w:val="22"/>
                      <w:szCs w:val="22"/>
                    </w:rPr>
                    <w:t>, milj.</w:t>
                  </w:r>
                </w:p>
              </w:tc>
              <w:tc>
                <w:tcPr>
                  <w:tcW w:w="1064" w:type="dxa"/>
                </w:tcPr>
                <w:p w14:paraId="36EDB629" w14:textId="77777777" w:rsidR="006C5819" w:rsidRPr="00C67A90" w:rsidRDefault="006C5819" w:rsidP="001A7298">
                  <w:pPr>
                    <w:framePr w:hSpace="180" w:wrap="around" w:vAnchor="text" w:hAnchor="margin" w:y="106"/>
                    <w:autoSpaceDE w:val="0"/>
                    <w:autoSpaceDN w:val="0"/>
                    <w:adjustRightInd w:val="0"/>
                    <w:ind w:right="132"/>
                    <w:jc w:val="center"/>
                    <w:rPr>
                      <w:sz w:val="22"/>
                      <w:szCs w:val="22"/>
                    </w:rPr>
                  </w:pPr>
                  <w:r w:rsidRPr="00C67A90">
                    <w:rPr>
                      <w:sz w:val="22"/>
                      <w:szCs w:val="22"/>
                    </w:rPr>
                    <w:t>NM skaits</w:t>
                  </w:r>
                </w:p>
              </w:tc>
              <w:tc>
                <w:tcPr>
                  <w:tcW w:w="734" w:type="dxa"/>
                </w:tcPr>
                <w:p w14:paraId="58720AE6" w14:textId="77777777" w:rsidR="006C5819" w:rsidRPr="00C67A90" w:rsidRDefault="006C5819" w:rsidP="001A7298">
                  <w:pPr>
                    <w:framePr w:hSpace="180" w:wrap="around" w:vAnchor="text" w:hAnchor="margin" w:y="106"/>
                    <w:autoSpaceDE w:val="0"/>
                    <w:autoSpaceDN w:val="0"/>
                    <w:adjustRightInd w:val="0"/>
                    <w:ind w:right="132"/>
                    <w:jc w:val="center"/>
                    <w:rPr>
                      <w:sz w:val="22"/>
                      <w:szCs w:val="22"/>
                    </w:rPr>
                  </w:pPr>
                  <w:r w:rsidRPr="00C67A90">
                    <w:rPr>
                      <w:sz w:val="22"/>
                      <w:szCs w:val="22"/>
                    </w:rPr>
                    <w:t>%</w:t>
                  </w:r>
                </w:p>
              </w:tc>
              <w:tc>
                <w:tcPr>
                  <w:tcW w:w="1277" w:type="dxa"/>
                </w:tcPr>
                <w:p w14:paraId="2A1908C0" w14:textId="77777777" w:rsidR="006C5819" w:rsidRPr="00C67A90" w:rsidRDefault="006C5819" w:rsidP="001A7298">
                  <w:pPr>
                    <w:framePr w:hSpace="180" w:wrap="around" w:vAnchor="text" w:hAnchor="margin" w:y="106"/>
                    <w:autoSpaceDE w:val="0"/>
                    <w:autoSpaceDN w:val="0"/>
                    <w:adjustRightInd w:val="0"/>
                    <w:ind w:right="132"/>
                    <w:jc w:val="center"/>
                    <w:rPr>
                      <w:sz w:val="22"/>
                      <w:szCs w:val="22"/>
                    </w:rPr>
                  </w:pPr>
                  <w:r w:rsidRPr="00C67A90">
                    <w:rPr>
                      <w:sz w:val="22"/>
                      <w:szCs w:val="22"/>
                    </w:rPr>
                    <w:t xml:space="preserve">PVN pārmaksas summa, </w:t>
                  </w:r>
                  <w:r w:rsidRPr="00C67A90">
                    <w:rPr>
                      <w:i/>
                      <w:sz w:val="22"/>
                      <w:szCs w:val="22"/>
                    </w:rPr>
                    <w:t>euro</w:t>
                  </w:r>
                  <w:r w:rsidRPr="00C67A90">
                    <w:rPr>
                      <w:sz w:val="22"/>
                      <w:szCs w:val="22"/>
                    </w:rPr>
                    <w:t>, milj.</w:t>
                  </w:r>
                </w:p>
              </w:tc>
              <w:tc>
                <w:tcPr>
                  <w:tcW w:w="954" w:type="dxa"/>
                </w:tcPr>
                <w:p w14:paraId="1D717682" w14:textId="77777777" w:rsidR="006C5819" w:rsidRPr="00C67A90" w:rsidRDefault="006C5819" w:rsidP="001A7298">
                  <w:pPr>
                    <w:framePr w:hSpace="180" w:wrap="around" w:vAnchor="text" w:hAnchor="margin" w:y="106"/>
                    <w:autoSpaceDE w:val="0"/>
                    <w:autoSpaceDN w:val="0"/>
                    <w:adjustRightInd w:val="0"/>
                    <w:ind w:right="132"/>
                    <w:jc w:val="center"/>
                    <w:rPr>
                      <w:sz w:val="22"/>
                      <w:szCs w:val="22"/>
                    </w:rPr>
                  </w:pPr>
                  <w:r w:rsidRPr="00C67A90">
                    <w:rPr>
                      <w:sz w:val="22"/>
                      <w:szCs w:val="22"/>
                    </w:rPr>
                    <w:t>NM skaits</w:t>
                  </w:r>
                </w:p>
              </w:tc>
              <w:tc>
                <w:tcPr>
                  <w:tcW w:w="734" w:type="dxa"/>
                </w:tcPr>
                <w:p w14:paraId="24DC1B04" w14:textId="77777777" w:rsidR="006C5819" w:rsidRPr="00C67A90" w:rsidRDefault="006C5819" w:rsidP="001A7298">
                  <w:pPr>
                    <w:framePr w:hSpace="180" w:wrap="around" w:vAnchor="text" w:hAnchor="margin" w:y="106"/>
                    <w:autoSpaceDE w:val="0"/>
                    <w:autoSpaceDN w:val="0"/>
                    <w:adjustRightInd w:val="0"/>
                    <w:ind w:right="132"/>
                    <w:jc w:val="center"/>
                    <w:rPr>
                      <w:sz w:val="22"/>
                      <w:szCs w:val="22"/>
                    </w:rPr>
                  </w:pPr>
                  <w:r w:rsidRPr="00C67A90">
                    <w:rPr>
                      <w:sz w:val="22"/>
                      <w:szCs w:val="22"/>
                    </w:rPr>
                    <w:t>%</w:t>
                  </w:r>
                </w:p>
              </w:tc>
            </w:tr>
            <w:tr w:rsidR="006C5819" w14:paraId="213EF897" w14:textId="77777777" w:rsidTr="00B14C36">
              <w:tc>
                <w:tcPr>
                  <w:tcW w:w="886" w:type="dxa"/>
                </w:tcPr>
                <w:p w14:paraId="00D06B53" w14:textId="77777777" w:rsidR="006C5819" w:rsidRPr="00C67A90" w:rsidRDefault="006C5819" w:rsidP="001A7298">
                  <w:pPr>
                    <w:framePr w:hSpace="180" w:wrap="around" w:vAnchor="text" w:hAnchor="margin" w:y="106"/>
                    <w:autoSpaceDE w:val="0"/>
                    <w:autoSpaceDN w:val="0"/>
                    <w:adjustRightInd w:val="0"/>
                    <w:ind w:right="15"/>
                    <w:jc w:val="both"/>
                    <w:rPr>
                      <w:sz w:val="22"/>
                      <w:szCs w:val="22"/>
                    </w:rPr>
                  </w:pPr>
                  <w:r w:rsidRPr="00C67A90">
                    <w:rPr>
                      <w:sz w:val="22"/>
                      <w:szCs w:val="22"/>
                    </w:rPr>
                    <w:t>Līdz 5</w:t>
                  </w:r>
                </w:p>
              </w:tc>
              <w:tc>
                <w:tcPr>
                  <w:tcW w:w="1277" w:type="dxa"/>
                </w:tcPr>
                <w:p w14:paraId="56B1F1D8" w14:textId="77777777" w:rsidR="006C5819" w:rsidRPr="00C67A90" w:rsidRDefault="006C5819" w:rsidP="001A7298">
                  <w:pPr>
                    <w:framePr w:hSpace="180" w:wrap="around" w:vAnchor="text" w:hAnchor="margin" w:y="106"/>
                    <w:autoSpaceDE w:val="0"/>
                    <w:autoSpaceDN w:val="0"/>
                    <w:adjustRightInd w:val="0"/>
                    <w:ind w:right="132"/>
                    <w:jc w:val="right"/>
                    <w:rPr>
                      <w:sz w:val="22"/>
                      <w:szCs w:val="22"/>
                    </w:rPr>
                  </w:pPr>
                  <w:r w:rsidRPr="00C67A90">
                    <w:rPr>
                      <w:sz w:val="22"/>
                      <w:szCs w:val="22"/>
                    </w:rPr>
                    <w:t>150,8</w:t>
                  </w:r>
                </w:p>
              </w:tc>
              <w:tc>
                <w:tcPr>
                  <w:tcW w:w="1064" w:type="dxa"/>
                </w:tcPr>
                <w:p w14:paraId="0397C922" w14:textId="77777777" w:rsidR="006C5819" w:rsidRPr="00C67A90" w:rsidRDefault="006C5819" w:rsidP="001A7298">
                  <w:pPr>
                    <w:framePr w:hSpace="180" w:wrap="around" w:vAnchor="text" w:hAnchor="margin" w:y="106"/>
                    <w:autoSpaceDE w:val="0"/>
                    <w:autoSpaceDN w:val="0"/>
                    <w:adjustRightInd w:val="0"/>
                    <w:ind w:right="132"/>
                    <w:jc w:val="both"/>
                    <w:rPr>
                      <w:sz w:val="22"/>
                      <w:szCs w:val="22"/>
                    </w:rPr>
                  </w:pPr>
                  <w:r w:rsidRPr="00C67A90">
                    <w:rPr>
                      <w:sz w:val="22"/>
                      <w:szCs w:val="22"/>
                    </w:rPr>
                    <w:t>16 430</w:t>
                  </w:r>
                </w:p>
              </w:tc>
              <w:tc>
                <w:tcPr>
                  <w:tcW w:w="734" w:type="dxa"/>
                </w:tcPr>
                <w:p w14:paraId="710BDE3D" w14:textId="77777777" w:rsidR="006C5819" w:rsidRPr="00C67A90" w:rsidRDefault="006C5819" w:rsidP="001A7298">
                  <w:pPr>
                    <w:framePr w:hSpace="180" w:wrap="around" w:vAnchor="text" w:hAnchor="margin" w:y="106"/>
                    <w:autoSpaceDE w:val="0"/>
                    <w:autoSpaceDN w:val="0"/>
                    <w:adjustRightInd w:val="0"/>
                    <w:ind w:right="132"/>
                    <w:jc w:val="both"/>
                    <w:rPr>
                      <w:sz w:val="22"/>
                      <w:szCs w:val="22"/>
                    </w:rPr>
                  </w:pPr>
                  <w:r w:rsidRPr="00C67A90">
                    <w:rPr>
                      <w:sz w:val="22"/>
                      <w:szCs w:val="22"/>
                    </w:rPr>
                    <w:t>12.7</w:t>
                  </w:r>
                </w:p>
              </w:tc>
              <w:tc>
                <w:tcPr>
                  <w:tcW w:w="1277" w:type="dxa"/>
                </w:tcPr>
                <w:p w14:paraId="6F59AF89" w14:textId="43136425" w:rsidR="006C5819" w:rsidRPr="00C67A90" w:rsidRDefault="006C5819" w:rsidP="001A7298">
                  <w:pPr>
                    <w:framePr w:hSpace="180" w:wrap="around" w:vAnchor="text" w:hAnchor="margin" w:y="106"/>
                    <w:autoSpaceDE w:val="0"/>
                    <w:autoSpaceDN w:val="0"/>
                    <w:adjustRightInd w:val="0"/>
                    <w:ind w:right="132"/>
                    <w:jc w:val="right"/>
                    <w:rPr>
                      <w:sz w:val="22"/>
                      <w:szCs w:val="22"/>
                    </w:rPr>
                  </w:pPr>
                  <w:r>
                    <w:rPr>
                      <w:sz w:val="22"/>
                      <w:szCs w:val="22"/>
                    </w:rPr>
                    <w:t>163,6</w:t>
                  </w:r>
                </w:p>
              </w:tc>
              <w:tc>
                <w:tcPr>
                  <w:tcW w:w="954" w:type="dxa"/>
                </w:tcPr>
                <w:p w14:paraId="5EB011D4" w14:textId="4A177483" w:rsidR="006C5819" w:rsidRPr="00C67A90" w:rsidRDefault="006C5819" w:rsidP="001A7298">
                  <w:pPr>
                    <w:framePr w:hSpace="180" w:wrap="around" w:vAnchor="text" w:hAnchor="margin" w:y="106"/>
                    <w:autoSpaceDE w:val="0"/>
                    <w:autoSpaceDN w:val="0"/>
                    <w:adjustRightInd w:val="0"/>
                    <w:ind w:right="132"/>
                    <w:jc w:val="both"/>
                    <w:rPr>
                      <w:sz w:val="22"/>
                      <w:szCs w:val="22"/>
                    </w:rPr>
                  </w:pPr>
                  <w:r>
                    <w:rPr>
                      <w:sz w:val="22"/>
                      <w:szCs w:val="22"/>
                    </w:rPr>
                    <w:t>18 805</w:t>
                  </w:r>
                </w:p>
              </w:tc>
              <w:tc>
                <w:tcPr>
                  <w:tcW w:w="734" w:type="dxa"/>
                </w:tcPr>
                <w:p w14:paraId="23A8E3FC" w14:textId="33E906CA" w:rsidR="006C5819" w:rsidRPr="00C67A90" w:rsidRDefault="006C5819" w:rsidP="001A7298">
                  <w:pPr>
                    <w:framePr w:hSpace="180" w:wrap="around" w:vAnchor="text" w:hAnchor="margin" w:y="106"/>
                    <w:autoSpaceDE w:val="0"/>
                    <w:autoSpaceDN w:val="0"/>
                    <w:adjustRightInd w:val="0"/>
                    <w:ind w:right="132"/>
                    <w:jc w:val="both"/>
                    <w:rPr>
                      <w:sz w:val="22"/>
                      <w:szCs w:val="22"/>
                    </w:rPr>
                  </w:pPr>
                  <w:r>
                    <w:rPr>
                      <w:sz w:val="22"/>
                      <w:szCs w:val="22"/>
                    </w:rPr>
                    <w:t>14</w:t>
                  </w:r>
                </w:p>
              </w:tc>
            </w:tr>
            <w:tr w:rsidR="006C5819" w14:paraId="54B417B1" w14:textId="77777777" w:rsidTr="00B14C36">
              <w:tc>
                <w:tcPr>
                  <w:tcW w:w="886" w:type="dxa"/>
                </w:tcPr>
                <w:p w14:paraId="07D37B9F" w14:textId="77777777" w:rsidR="006C5819" w:rsidRPr="00C67A90" w:rsidRDefault="006C5819" w:rsidP="001A7298">
                  <w:pPr>
                    <w:framePr w:hSpace="180" w:wrap="around" w:vAnchor="text" w:hAnchor="margin" w:y="106"/>
                    <w:autoSpaceDE w:val="0"/>
                    <w:autoSpaceDN w:val="0"/>
                    <w:adjustRightInd w:val="0"/>
                    <w:ind w:right="15"/>
                    <w:jc w:val="both"/>
                    <w:rPr>
                      <w:sz w:val="22"/>
                      <w:szCs w:val="22"/>
                    </w:rPr>
                  </w:pPr>
                  <w:r w:rsidRPr="00C67A90">
                    <w:rPr>
                      <w:sz w:val="22"/>
                      <w:szCs w:val="22"/>
                    </w:rPr>
                    <w:t>6-10</w:t>
                  </w:r>
                </w:p>
              </w:tc>
              <w:tc>
                <w:tcPr>
                  <w:tcW w:w="1277" w:type="dxa"/>
                </w:tcPr>
                <w:p w14:paraId="573A302B" w14:textId="77777777" w:rsidR="006C5819" w:rsidRPr="00C67A90" w:rsidRDefault="006C5819" w:rsidP="001A7298">
                  <w:pPr>
                    <w:framePr w:hSpace="180" w:wrap="around" w:vAnchor="text" w:hAnchor="margin" w:y="106"/>
                    <w:autoSpaceDE w:val="0"/>
                    <w:autoSpaceDN w:val="0"/>
                    <w:adjustRightInd w:val="0"/>
                    <w:ind w:right="132"/>
                    <w:jc w:val="right"/>
                    <w:rPr>
                      <w:sz w:val="22"/>
                      <w:szCs w:val="22"/>
                    </w:rPr>
                  </w:pPr>
                  <w:r w:rsidRPr="00C67A90">
                    <w:rPr>
                      <w:sz w:val="22"/>
                      <w:szCs w:val="22"/>
                    </w:rPr>
                    <w:t>215,5</w:t>
                  </w:r>
                </w:p>
              </w:tc>
              <w:tc>
                <w:tcPr>
                  <w:tcW w:w="1064" w:type="dxa"/>
                </w:tcPr>
                <w:p w14:paraId="6E56BE4E" w14:textId="77777777" w:rsidR="006C5819" w:rsidRPr="00C67A90" w:rsidRDefault="006C5819" w:rsidP="001A7298">
                  <w:pPr>
                    <w:framePr w:hSpace="180" w:wrap="around" w:vAnchor="text" w:hAnchor="margin" w:y="106"/>
                    <w:autoSpaceDE w:val="0"/>
                    <w:autoSpaceDN w:val="0"/>
                    <w:adjustRightInd w:val="0"/>
                    <w:ind w:right="132"/>
                    <w:jc w:val="both"/>
                    <w:rPr>
                      <w:sz w:val="22"/>
                      <w:szCs w:val="22"/>
                    </w:rPr>
                  </w:pPr>
                  <w:r w:rsidRPr="00C67A90">
                    <w:rPr>
                      <w:sz w:val="22"/>
                      <w:szCs w:val="22"/>
                    </w:rPr>
                    <w:t>35 149</w:t>
                  </w:r>
                </w:p>
              </w:tc>
              <w:tc>
                <w:tcPr>
                  <w:tcW w:w="734" w:type="dxa"/>
                </w:tcPr>
                <w:p w14:paraId="10CFAAA1" w14:textId="77777777" w:rsidR="006C5819" w:rsidRPr="00C67A90" w:rsidRDefault="006C5819" w:rsidP="001A7298">
                  <w:pPr>
                    <w:framePr w:hSpace="180" w:wrap="around" w:vAnchor="text" w:hAnchor="margin" w:y="106"/>
                    <w:autoSpaceDE w:val="0"/>
                    <w:autoSpaceDN w:val="0"/>
                    <w:adjustRightInd w:val="0"/>
                    <w:ind w:right="132"/>
                    <w:jc w:val="both"/>
                    <w:rPr>
                      <w:sz w:val="22"/>
                      <w:szCs w:val="22"/>
                    </w:rPr>
                  </w:pPr>
                  <w:r w:rsidRPr="00C67A90">
                    <w:rPr>
                      <w:sz w:val="22"/>
                      <w:szCs w:val="22"/>
                    </w:rPr>
                    <w:t>27.2</w:t>
                  </w:r>
                </w:p>
              </w:tc>
              <w:tc>
                <w:tcPr>
                  <w:tcW w:w="1277" w:type="dxa"/>
                </w:tcPr>
                <w:p w14:paraId="09D1925F" w14:textId="7BA38376" w:rsidR="006C5819" w:rsidRPr="00C67A90" w:rsidRDefault="003260FC" w:rsidP="001A7298">
                  <w:pPr>
                    <w:framePr w:hSpace="180" w:wrap="around" w:vAnchor="text" w:hAnchor="margin" w:y="106"/>
                    <w:autoSpaceDE w:val="0"/>
                    <w:autoSpaceDN w:val="0"/>
                    <w:adjustRightInd w:val="0"/>
                    <w:ind w:right="132"/>
                    <w:jc w:val="right"/>
                    <w:rPr>
                      <w:sz w:val="22"/>
                      <w:szCs w:val="22"/>
                    </w:rPr>
                  </w:pPr>
                  <w:r>
                    <w:rPr>
                      <w:sz w:val="22"/>
                      <w:szCs w:val="22"/>
                    </w:rPr>
                    <w:t>259,2</w:t>
                  </w:r>
                </w:p>
              </w:tc>
              <w:tc>
                <w:tcPr>
                  <w:tcW w:w="954" w:type="dxa"/>
                </w:tcPr>
                <w:p w14:paraId="47E8FC9C" w14:textId="0C19FCE5" w:rsidR="006C5819" w:rsidRPr="00C67A90" w:rsidRDefault="006C5819" w:rsidP="001A7298">
                  <w:pPr>
                    <w:framePr w:hSpace="180" w:wrap="around" w:vAnchor="text" w:hAnchor="margin" w:y="106"/>
                    <w:autoSpaceDE w:val="0"/>
                    <w:autoSpaceDN w:val="0"/>
                    <w:adjustRightInd w:val="0"/>
                    <w:ind w:right="132"/>
                    <w:jc w:val="both"/>
                    <w:rPr>
                      <w:sz w:val="22"/>
                      <w:szCs w:val="22"/>
                    </w:rPr>
                  </w:pPr>
                  <w:r>
                    <w:rPr>
                      <w:sz w:val="22"/>
                      <w:szCs w:val="22"/>
                    </w:rPr>
                    <w:t>39 854</w:t>
                  </w:r>
                </w:p>
              </w:tc>
              <w:tc>
                <w:tcPr>
                  <w:tcW w:w="734" w:type="dxa"/>
                </w:tcPr>
                <w:p w14:paraId="502FCC0E" w14:textId="6187D0E1" w:rsidR="006C5819" w:rsidRPr="00C67A90" w:rsidRDefault="006C5819" w:rsidP="001A7298">
                  <w:pPr>
                    <w:framePr w:hSpace="180" w:wrap="around" w:vAnchor="text" w:hAnchor="margin" w:y="106"/>
                    <w:autoSpaceDE w:val="0"/>
                    <w:autoSpaceDN w:val="0"/>
                    <w:adjustRightInd w:val="0"/>
                    <w:ind w:right="132"/>
                    <w:jc w:val="both"/>
                    <w:rPr>
                      <w:sz w:val="22"/>
                      <w:szCs w:val="22"/>
                    </w:rPr>
                  </w:pPr>
                  <w:r>
                    <w:rPr>
                      <w:sz w:val="22"/>
                      <w:szCs w:val="22"/>
                    </w:rPr>
                    <w:t>30</w:t>
                  </w:r>
                </w:p>
              </w:tc>
            </w:tr>
            <w:tr w:rsidR="006C5819" w14:paraId="2C5DDD10" w14:textId="77777777" w:rsidTr="00B14C36">
              <w:tc>
                <w:tcPr>
                  <w:tcW w:w="886" w:type="dxa"/>
                </w:tcPr>
                <w:p w14:paraId="1BFDBCA4" w14:textId="77777777" w:rsidR="006C5819" w:rsidRPr="00C67A90" w:rsidRDefault="006C5819" w:rsidP="001A7298">
                  <w:pPr>
                    <w:framePr w:hSpace="180" w:wrap="around" w:vAnchor="text" w:hAnchor="margin" w:y="106"/>
                    <w:autoSpaceDE w:val="0"/>
                    <w:autoSpaceDN w:val="0"/>
                    <w:adjustRightInd w:val="0"/>
                    <w:ind w:right="15"/>
                    <w:jc w:val="both"/>
                    <w:rPr>
                      <w:sz w:val="22"/>
                      <w:szCs w:val="22"/>
                    </w:rPr>
                  </w:pPr>
                  <w:r w:rsidRPr="00C67A90">
                    <w:rPr>
                      <w:sz w:val="22"/>
                      <w:szCs w:val="22"/>
                    </w:rPr>
                    <w:t>11-20</w:t>
                  </w:r>
                </w:p>
              </w:tc>
              <w:tc>
                <w:tcPr>
                  <w:tcW w:w="1277" w:type="dxa"/>
                </w:tcPr>
                <w:p w14:paraId="703AA329" w14:textId="77777777" w:rsidR="006C5819" w:rsidRPr="00C67A90" w:rsidRDefault="006C5819" w:rsidP="001A7298">
                  <w:pPr>
                    <w:framePr w:hSpace="180" w:wrap="around" w:vAnchor="text" w:hAnchor="margin" w:y="106"/>
                    <w:autoSpaceDE w:val="0"/>
                    <w:autoSpaceDN w:val="0"/>
                    <w:adjustRightInd w:val="0"/>
                    <w:ind w:right="132"/>
                    <w:jc w:val="right"/>
                    <w:rPr>
                      <w:sz w:val="22"/>
                      <w:szCs w:val="22"/>
                    </w:rPr>
                  </w:pPr>
                  <w:r w:rsidRPr="00C67A90">
                    <w:rPr>
                      <w:sz w:val="22"/>
                      <w:szCs w:val="22"/>
                    </w:rPr>
                    <w:t>268,6</w:t>
                  </w:r>
                </w:p>
              </w:tc>
              <w:tc>
                <w:tcPr>
                  <w:tcW w:w="1064" w:type="dxa"/>
                </w:tcPr>
                <w:p w14:paraId="149255F5" w14:textId="77777777" w:rsidR="006C5819" w:rsidRPr="00C67A90" w:rsidRDefault="006C5819" w:rsidP="001A7298">
                  <w:pPr>
                    <w:framePr w:hSpace="180" w:wrap="around" w:vAnchor="text" w:hAnchor="margin" w:y="106"/>
                    <w:autoSpaceDE w:val="0"/>
                    <w:autoSpaceDN w:val="0"/>
                    <w:adjustRightInd w:val="0"/>
                    <w:ind w:right="132"/>
                    <w:jc w:val="both"/>
                    <w:rPr>
                      <w:sz w:val="22"/>
                      <w:szCs w:val="22"/>
                    </w:rPr>
                  </w:pPr>
                  <w:r w:rsidRPr="00C67A90">
                    <w:rPr>
                      <w:sz w:val="22"/>
                      <w:szCs w:val="22"/>
                    </w:rPr>
                    <w:t>48 185</w:t>
                  </w:r>
                </w:p>
              </w:tc>
              <w:tc>
                <w:tcPr>
                  <w:tcW w:w="734" w:type="dxa"/>
                </w:tcPr>
                <w:p w14:paraId="4CF8476F" w14:textId="77777777" w:rsidR="006C5819" w:rsidRPr="00C67A90" w:rsidRDefault="006C5819" w:rsidP="001A7298">
                  <w:pPr>
                    <w:framePr w:hSpace="180" w:wrap="around" w:vAnchor="text" w:hAnchor="margin" w:y="106"/>
                    <w:autoSpaceDE w:val="0"/>
                    <w:autoSpaceDN w:val="0"/>
                    <w:adjustRightInd w:val="0"/>
                    <w:ind w:right="132"/>
                    <w:jc w:val="both"/>
                    <w:rPr>
                      <w:sz w:val="22"/>
                      <w:szCs w:val="22"/>
                    </w:rPr>
                  </w:pPr>
                  <w:r w:rsidRPr="00C67A90">
                    <w:rPr>
                      <w:sz w:val="22"/>
                      <w:szCs w:val="22"/>
                    </w:rPr>
                    <w:t>37.5</w:t>
                  </w:r>
                </w:p>
              </w:tc>
              <w:tc>
                <w:tcPr>
                  <w:tcW w:w="1277" w:type="dxa"/>
                </w:tcPr>
                <w:p w14:paraId="6BD94656" w14:textId="1F020CF3" w:rsidR="006C5819" w:rsidRPr="00C67A90" w:rsidRDefault="003260FC" w:rsidP="001A7298">
                  <w:pPr>
                    <w:framePr w:hSpace="180" w:wrap="around" w:vAnchor="text" w:hAnchor="margin" w:y="106"/>
                    <w:autoSpaceDE w:val="0"/>
                    <w:autoSpaceDN w:val="0"/>
                    <w:adjustRightInd w:val="0"/>
                    <w:ind w:right="132"/>
                    <w:jc w:val="right"/>
                    <w:rPr>
                      <w:sz w:val="22"/>
                      <w:szCs w:val="22"/>
                    </w:rPr>
                  </w:pPr>
                  <w:r>
                    <w:rPr>
                      <w:sz w:val="22"/>
                      <w:szCs w:val="22"/>
                    </w:rPr>
                    <w:t>275,2</w:t>
                  </w:r>
                </w:p>
              </w:tc>
              <w:tc>
                <w:tcPr>
                  <w:tcW w:w="954" w:type="dxa"/>
                </w:tcPr>
                <w:p w14:paraId="096C495B" w14:textId="14EE52A1" w:rsidR="006C5819" w:rsidRPr="00C67A90" w:rsidRDefault="006C5819" w:rsidP="001A7298">
                  <w:pPr>
                    <w:framePr w:hSpace="180" w:wrap="around" w:vAnchor="text" w:hAnchor="margin" w:y="106"/>
                    <w:autoSpaceDE w:val="0"/>
                    <w:autoSpaceDN w:val="0"/>
                    <w:adjustRightInd w:val="0"/>
                    <w:ind w:right="132"/>
                    <w:jc w:val="both"/>
                    <w:rPr>
                      <w:sz w:val="22"/>
                      <w:szCs w:val="22"/>
                    </w:rPr>
                  </w:pPr>
                  <w:r>
                    <w:rPr>
                      <w:sz w:val="22"/>
                      <w:szCs w:val="22"/>
                    </w:rPr>
                    <w:t>47 693</w:t>
                  </w:r>
                </w:p>
              </w:tc>
              <w:tc>
                <w:tcPr>
                  <w:tcW w:w="734" w:type="dxa"/>
                </w:tcPr>
                <w:p w14:paraId="1A46E221" w14:textId="45B528A6" w:rsidR="006C5819" w:rsidRPr="00C67A90" w:rsidRDefault="006C5819" w:rsidP="001A7298">
                  <w:pPr>
                    <w:framePr w:hSpace="180" w:wrap="around" w:vAnchor="text" w:hAnchor="margin" w:y="106"/>
                    <w:autoSpaceDE w:val="0"/>
                    <w:autoSpaceDN w:val="0"/>
                    <w:adjustRightInd w:val="0"/>
                    <w:ind w:right="132"/>
                    <w:jc w:val="both"/>
                    <w:rPr>
                      <w:sz w:val="22"/>
                      <w:szCs w:val="22"/>
                    </w:rPr>
                  </w:pPr>
                  <w:r>
                    <w:rPr>
                      <w:sz w:val="22"/>
                      <w:szCs w:val="22"/>
                    </w:rPr>
                    <w:t>36</w:t>
                  </w:r>
                </w:p>
              </w:tc>
            </w:tr>
            <w:tr w:rsidR="006C5819" w14:paraId="05DAC8D1" w14:textId="77777777" w:rsidTr="00B14C36">
              <w:tc>
                <w:tcPr>
                  <w:tcW w:w="886" w:type="dxa"/>
                </w:tcPr>
                <w:p w14:paraId="27F676D2" w14:textId="77777777" w:rsidR="006C5819" w:rsidRPr="00C67A90" w:rsidRDefault="006C5819" w:rsidP="001A7298">
                  <w:pPr>
                    <w:framePr w:hSpace="180" w:wrap="around" w:vAnchor="text" w:hAnchor="margin" w:y="106"/>
                    <w:autoSpaceDE w:val="0"/>
                    <w:autoSpaceDN w:val="0"/>
                    <w:adjustRightInd w:val="0"/>
                    <w:ind w:right="15"/>
                    <w:jc w:val="both"/>
                    <w:rPr>
                      <w:sz w:val="22"/>
                      <w:szCs w:val="22"/>
                    </w:rPr>
                  </w:pPr>
                  <w:r w:rsidRPr="00C67A90">
                    <w:rPr>
                      <w:sz w:val="22"/>
                      <w:szCs w:val="22"/>
                    </w:rPr>
                    <w:t>21-30</w:t>
                  </w:r>
                </w:p>
              </w:tc>
              <w:tc>
                <w:tcPr>
                  <w:tcW w:w="1277" w:type="dxa"/>
                </w:tcPr>
                <w:p w14:paraId="35391F1F" w14:textId="77777777" w:rsidR="006C5819" w:rsidRPr="00C67A90" w:rsidRDefault="006C5819" w:rsidP="001A7298">
                  <w:pPr>
                    <w:framePr w:hSpace="180" w:wrap="around" w:vAnchor="text" w:hAnchor="margin" w:y="106"/>
                    <w:autoSpaceDE w:val="0"/>
                    <w:autoSpaceDN w:val="0"/>
                    <w:adjustRightInd w:val="0"/>
                    <w:ind w:right="132"/>
                    <w:jc w:val="right"/>
                    <w:rPr>
                      <w:sz w:val="22"/>
                      <w:szCs w:val="22"/>
                    </w:rPr>
                  </w:pPr>
                  <w:r w:rsidRPr="00C67A90">
                    <w:rPr>
                      <w:sz w:val="22"/>
                      <w:szCs w:val="22"/>
                    </w:rPr>
                    <w:t>194,4</w:t>
                  </w:r>
                </w:p>
              </w:tc>
              <w:tc>
                <w:tcPr>
                  <w:tcW w:w="1064" w:type="dxa"/>
                </w:tcPr>
                <w:p w14:paraId="6B6BB104" w14:textId="77777777" w:rsidR="006C5819" w:rsidRPr="00C67A90" w:rsidRDefault="006C5819" w:rsidP="001A7298">
                  <w:pPr>
                    <w:framePr w:hSpace="180" w:wrap="around" w:vAnchor="text" w:hAnchor="margin" w:y="106"/>
                    <w:autoSpaceDE w:val="0"/>
                    <w:autoSpaceDN w:val="0"/>
                    <w:adjustRightInd w:val="0"/>
                    <w:ind w:right="132"/>
                    <w:jc w:val="both"/>
                    <w:rPr>
                      <w:sz w:val="22"/>
                      <w:szCs w:val="22"/>
                    </w:rPr>
                  </w:pPr>
                  <w:r w:rsidRPr="00C67A90">
                    <w:rPr>
                      <w:sz w:val="22"/>
                      <w:szCs w:val="22"/>
                    </w:rPr>
                    <w:t>26 412</w:t>
                  </w:r>
                </w:p>
              </w:tc>
              <w:tc>
                <w:tcPr>
                  <w:tcW w:w="734" w:type="dxa"/>
                </w:tcPr>
                <w:p w14:paraId="1D72CE9B" w14:textId="77777777" w:rsidR="006C5819" w:rsidRPr="00C67A90" w:rsidRDefault="006C5819" w:rsidP="001A7298">
                  <w:pPr>
                    <w:framePr w:hSpace="180" w:wrap="around" w:vAnchor="text" w:hAnchor="margin" w:y="106"/>
                    <w:autoSpaceDE w:val="0"/>
                    <w:autoSpaceDN w:val="0"/>
                    <w:adjustRightInd w:val="0"/>
                    <w:ind w:right="132"/>
                    <w:jc w:val="both"/>
                    <w:rPr>
                      <w:sz w:val="22"/>
                      <w:szCs w:val="22"/>
                    </w:rPr>
                  </w:pPr>
                  <w:r w:rsidRPr="00C67A90">
                    <w:rPr>
                      <w:sz w:val="22"/>
                      <w:szCs w:val="22"/>
                    </w:rPr>
                    <w:t>20.4</w:t>
                  </w:r>
                </w:p>
              </w:tc>
              <w:tc>
                <w:tcPr>
                  <w:tcW w:w="1277" w:type="dxa"/>
                </w:tcPr>
                <w:p w14:paraId="586CD65E" w14:textId="2F72433C" w:rsidR="006C5819" w:rsidRPr="00C67A90" w:rsidRDefault="003260FC" w:rsidP="001A7298">
                  <w:pPr>
                    <w:framePr w:hSpace="180" w:wrap="around" w:vAnchor="text" w:hAnchor="margin" w:y="106"/>
                    <w:autoSpaceDE w:val="0"/>
                    <w:autoSpaceDN w:val="0"/>
                    <w:adjustRightInd w:val="0"/>
                    <w:ind w:right="132"/>
                    <w:jc w:val="right"/>
                    <w:rPr>
                      <w:sz w:val="22"/>
                      <w:szCs w:val="22"/>
                    </w:rPr>
                  </w:pPr>
                  <w:r>
                    <w:rPr>
                      <w:sz w:val="22"/>
                      <w:szCs w:val="22"/>
                    </w:rPr>
                    <w:t>125,6</w:t>
                  </w:r>
                </w:p>
              </w:tc>
              <w:tc>
                <w:tcPr>
                  <w:tcW w:w="954" w:type="dxa"/>
                </w:tcPr>
                <w:p w14:paraId="6268A79E" w14:textId="2A4682C3" w:rsidR="006C5819" w:rsidRPr="00C67A90" w:rsidRDefault="006C5819" w:rsidP="001A7298">
                  <w:pPr>
                    <w:framePr w:hSpace="180" w:wrap="around" w:vAnchor="text" w:hAnchor="margin" w:y="106"/>
                    <w:autoSpaceDE w:val="0"/>
                    <w:autoSpaceDN w:val="0"/>
                    <w:adjustRightInd w:val="0"/>
                    <w:ind w:right="132"/>
                    <w:jc w:val="both"/>
                    <w:rPr>
                      <w:sz w:val="22"/>
                      <w:szCs w:val="22"/>
                    </w:rPr>
                  </w:pPr>
                  <w:r>
                    <w:rPr>
                      <w:sz w:val="22"/>
                      <w:szCs w:val="22"/>
                    </w:rPr>
                    <w:t>20 840</w:t>
                  </w:r>
                </w:p>
              </w:tc>
              <w:tc>
                <w:tcPr>
                  <w:tcW w:w="734" w:type="dxa"/>
                </w:tcPr>
                <w:p w14:paraId="63F33F93" w14:textId="7CC59AA8" w:rsidR="006C5819" w:rsidRPr="00C67A90" w:rsidRDefault="006C5819" w:rsidP="001A7298">
                  <w:pPr>
                    <w:framePr w:hSpace="180" w:wrap="around" w:vAnchor="text" w:hAnchor="margin" w:y="106"/>
                    <w:autoSpaceDE w:val="0"/>
                    <w:autoSpaceDN w:val="0"/>
                    <w:adjustRightInd w:val="0"/>
                    <w:ind w:right="132"/>
                    <w:jc w:val="both"/>
                    <w:rPr>
                      <w:sz w:val="22"/>
                      <w:szCs w:val="22"/>
                    </w:rPr>
                  </w:pPr>
                  <w:r>
                    <w:rPr>
                      <w:sz w:val="22"/>
                      <w:szCs w:val="22"/>
                    </w:rPr>
                    <w:t>16</w:t>
                  </w:r>
                </w:p>
              </w:tc>
            </w:tr>
            <w:tr w:rsidR="006C5819" w14:paraId="2A2BAAFA" w14:textId="77777777" w:rsidTr="00B14C36">
              <w:tc>
                <w:tcPr>
                  <w:tcW w:w="886" w:type="dxa"/>
                </w:tcPr>
                <w:p w14:paraId="3556A84F" w14:textId="77777777" w:rsidR="006C5819" w:rsidRPr="00C67A90" w:rsidRDefault="006C5819" w:rsidP="001A7298">
                  <w:pPr>
                    <w:framePr w:hSpace="180" w:wrap="around" w:vAnchor="text" w:hAnchor="margin" w:y="106"/>
                    <w:autoSpaceDE w:val="0"/>
                    <w:autoSpaceDN w:val="0"/>
                    <w:adjustRightInd w:val="0"/>
                    <w:ind w:right="15"/>
                    <w:jc w:val="both"/>
                    <w:rPr>
                      <w:sz w:val="22"/>
                      <w:szCs w:val="22"/>
                    </w:rPr>
                  </w:pPr>
                  <w:r w:rsidRPr="00C67A90">
                    <w:rPr>
                      <w:sz w:val="22"/>
                      <w:szCs w:val="22"/>
                    </w:rPr>
                    <w:t>31-75</w:t>
                  </w:r>
                  <w:r>
                    <w:rPr>
                      <w:rStyle w:val="FootnoteReference"/>
                      <w:sz w:val="22"/>
                      <w:szCs w:val="22"/>
                    </w:rPr>
                    <w:footnoteReference w:id="2"/>
                  </w:r>
                </w:p>
              </w:tc>
              <w:tc>
                <w:tcPr>
                  <w:tcW w:w="1277" w:type="dxa"/>
                </w:tcPr>
                <w:p w14:paraId="5883A2E2" w14:textId="77777777" w:rsidR="006C5819" w:rsidRPr="00C67A90" w:rsidRDefault="006C5819" w:rsidP="001A7298">
                  <w:pPr>
                    <w:framePr w:hSpace="180" w:wrap="around" w:vAnchor="text" w:hAnchor="margin" w:y="106"/>
                    <w:autoSpaceDE w:val="0"/>
                    <w:autoSpaceDN w:val="0"/>
                    <w:adjustRightInd w:val="0"/>
                    <w:ind w:right="132"/>
                    <w:jc w:val="right"/>
                    <w:rPr>
                      <w:sz w:val="22"/>
                      <w:szCs w:val="22"/>
                    </w:rPr>
                  </w:pPr>
                  <w:r w:rsidRPr="00C67A90">
                    <w:rPr>
                      <w:sz w:val="22"/>
                      <w:szCs w:val="22"/>
                    </w:rPr>
                    <w:t>37,6</w:t>
                  </w:r>
                </w:p>
              </w:tc>
              <w:tc>
                <w:tcPr>
                  <w:tcW w:w="1064" w:type="dxa"/>
                </w:tcPr>
                <w:p w14:paraId="4D0C9D2E" w14:textId="77777777" w:rsidR="006C5819" w:rsidRPr="00C67A90" w:rsidRDefault="006C5819" w:rsidP="001A7298">
                  <w:pPr>
                    <w:framePr w:hSpace="180" w:wrap="around" w:vAnchor="text" w:hAnchor="margin" w:y="106"/>
                    <w:autoSpaceDE w:val="0"/>
                    <w:autoSpaceDN w:val="0"/>
                    <w:adjustRightInd w:val="0"/>
                    <w:ind w:right="132"/>
                    <w:jc w:val="both"/>
                    <w:rPr>
                      <w:sz w:val="22"/>
                      <w:szCs w:val="22"/>
                    </w:rPr>
                  </w:pPr>
                  <w:r w:rsidRPr="00C67A90">
                    <w:rPr>
                      <w:sz w:val="22"/>
                      <w:szCs w:val="22"/>
                    </w:rPr>
                    <w:t>2 592</w:t>
                  </w:r>
                </w:p>
              </w:tc>
              <w:tc>
                <w:tcPr>
                  <w:tcW w:w="734" w:type="dxa"/>
                </w:tcPr>
                <w:p w14:paraId="77F6C8D2" w14:textId="77777777" w:rsidR="006C5819" w:rsidRPr="00C67A90" w:rsidRDefault="006C5819" w:rsidP="001A7298">
                  <w:pPr>
                    <w:framePr w:hSpace="180" w:wrap="around" w:vAnchor="text" w:hAnchor="margin" w:y="106"/>
                    <w:autoSpaceDE w:val="0"/>
                    <w:autoSpaceDN w:val="0"/>
                    <w:adjustRightInd w:val="0"/>
                    <w:ind w:right="132"/>
                    <w:jc w:val="both"/>
                    <w:rPr>
                      <w:sz w:val="22"/>
                      <w:szCs w:val="22"/>
                    </w:rPr>
                  </w:pPr>
                  <w:r w:rsidRPr="00C67A90">
                    <w:rPr>
                      <w:sz w:val="22"/>
                      <w:szCs w:val="22"/>
                    </w:rPr>
                    <w:t>2</w:t>
                  </w:r>
                </w:p>
              </w:tc>
              <w:tc>
                <w:tcPr>
                  <w:tcW w:w="1277" w:type="dxa"/>
                </w:tcPr>
                <w:p w14:paraId="51831BB2" w14:textId="3940D579" w:rsidR="006C5819" w:rsidRPr="00C67A90" w:rsidRDefault="003260FC" w:rsidP="001A7298">
                  <w:pPr>
                    <w:framePr w:hSpace="180" w:wrap="around" w:vAnchor="text" w:hAnchor="margin" w:y="106"/>
                    <w:autoSpaceDE w:val="0"/>
                    <w:autoSpaceDN w:val="0"/>
                    <w:adjustRightInd w:val="0"/>
                    <w:ind w:right="132"/>
                    <w:jc w:val="right"/>
                    <w:rPr>
                      <w:sz w:val="22"/>
                      <w:szCs w:val="22"/>
                    </w:rPr>
                  </w:pPr>
                  <w:r>
                    <w:rPr>
                      <w:sz w:val="22"/>
                      <w:szCs w:val="22"/>
                    </w:rPr>
                    <w:t>44,9</w:t>
                  </w:r>
                </w:p>
              </w:tc>
              <w:tc>
                <w:tcPr>
                  <w:tcW w:w="954" w:type="dxa"/>
                </w:tcPr>
                <w:p w14:paraId="2DCA5BCC" w14:textId="31BC3DEB" w:rsidR="006C5819" w:rsidRPr="00C67A90" w:rsidRDefault="006C5819" w:rsidP="001A7298">
                  <w:pPr>
                    <w:framePr w:hSpace="180" w:wrap="around" w:vAnchor="text" w:hAnchor="margin" w:y="106"/>
                    <w:autoSpaceDE w:val="0"/>
                    <w:autoSpaceDN w:val="0"/>
                    <w:adjustRightInd w:val="0"/>
                    <w:ind w:right="132"/>
                    <w:jc w:val="both"/>
                    <w:rPr>
                      <w:sz w:val="22"/>
                      <w:szCs w:val="22"/>
                    </w:rPr>
                  </w:pPr>
                  <w:r>
                    <w:rPr>
                      <w:sz w:val="22"/>
                      <w:szCs w:val="22"/>
                    </w:rPr>
                    <w:t>4 951</w:t>
                  </w:r>
                </w:p>
              </w:tc>
              <w:tc>
                <w:tcPr>
                  <w:tcW w:w="734" w:type="dxa"/>
                </w:tcPr>
                <w:p w14:paraId="47307CAC" w14:textId="0E87A0CF" w:rsidR="006C5819" w:rsidRPr="00C67A90" w:rsidRDefault="006C5819" w:rsidP="001A7298">
                  <w:pPr>
                    <w:framePr w:hSpace="180" w:wrap="around" w:vAnchor="text" w:hAnchor="margin" w:y="106"/>
                    <w:autoSpaceDE w:val="0"/>
                    <w:autoSpaceDN w:val="0"/>
                    <w:adjustRightInd w:val="0"/>
                    <w:ind w:right="132"/>
                    <w:jc w:val="both"/>
                    <w:rPr>
                      <w:sz w:val="22"/>
                      <w:szCs w:val="22"/>
                    </w:rPr>
                  </w:pPr>
                  <w:r>
                    <w:rPr>
                      <w:sz w:val="22"/>
                      <w:szCs w:val="22"/>
                    </w:rPr>
                    <w:t>4</w:t>
                  </w:r>
                </w:p>
              </w:tc>
            </w:tr>
            <w:tr w:rsidR="006C5819" w14:paraId="0F875478" w14:textId="77777777" w:rsidTr="00B14C36">
              <w:tc>
                <w:tcPr>
                  <w:tcW w:w="886" w:type="dxa"/>
                </w:tcPr>
                <w:p w14:paraId="684B0026" w14:textId="77777777" w:rsidR="006C5819" w:rsidRPr="00C67A90" w:rsidRDefault="006C5819" w:rsidP="001A7298">
                  <w:pPr>
                    <w:framePr w:hSpace="180" w:wrap="around" w:vAnchor="text" w:hAnchor="margin" w:y="106"/>
                    <w:autoSpaceDE w:val="0"/>
                    <w:autoSpaceDN w:val="0"/>
                    <w:adjustRightInd w:val="0"/>
                    <w:ind w:right="-127"/>
                    <w:jc w:val="both"/>
                    <w:rPr>
                      <w:sz w:val="22"/>
                      <w:szCs w:val="22"/>
                    </w:rPr>
                  </w:pPr>
                  <w:r w:rsidRPr="00C67A90">
                    <w:rPr>
                      <w:sz w:val="22"/>
                      <w:szCs w:val="22"/>
                    </w:rPr>
                    <w:t>Virs 75</w:t>
                  </w:r>
                  <w:r>
                    <w:rPr>
                      <w:rStyle w:val="FootnoteReference"/>
                      <w:sz w:val="22"/>
                      <w:szCs w:val="22"/>
                    </w:rPr>
                    <w:footnoteReference w:id="3"/>
                  </w:r>
                </w:p>
              </w:tc>
              <w:tc>
                <w:tcPr>
                  <w:tcW w:w="1277" w:type="dxa"/>
                </w:tcPr>
                <w:p w14:paraId="2051AF03" w14:textId="77777777" w:rsidR="006C5819" w:rsidRPr="00C67A90" w:rsidRDefault="006C5819" w:rsidP="001A7298">
                  <w:pPr>
                    <w:framePr w:hSpace="180" w:wrap="around" w:vAnchor="text" w:hAnchor="margin" w:y="106"/>
                    <w:autoSpaceDE w:val="0"/>
                    <w:autoSpaceDN w:val="0"/>
                    <w:adjustRightInd w:val="0"/>
                    <w:ind w:right="132"/>
                    <w:jc w:val="right"/>
                    <w:rPr>
                      <w:sz w:val="22"/>
                      <w:szCs w:val="22"/>
                    </w:rPr>
                  </w:pPr>
                  <w:r w:rsidRPr="00C67A90">
                    <w:rPr>
                      <w:sz w:val="22"/>
                      <w:szCs w:val="22"/>
                    </w:rPr>
                    <w:t>11,1</w:t>
                  </w:r>
                </w:p>
              </w:tc>
              <w:tc>
                <w:tcPr>
                  <w:tcW w:w="1064" w:type="dxa"/>
                </w:tcPr>
                <w:p w14:paraId="78B3CD91" w14:textId="77777777" w:rsidR="006C5819" w:rsidRPr="00C67A90" w:rsidRDefault="006C5819" w:rsidP="001A7298">
                  <w:pPr>
                    <w:framePr w:hSpace="180" w:wrap="around" w:vAnchor="text" w:hAnchor="margin" w:y="106"/>
                    <w:autoSpaceDE w:val="0"/>
                    <w:autoSpaceDN w:val="0"/>
                    <w:adjustRightInd w:val="0"/>
                    <w:ind w:right="132"/>
                    <w:jc w:val="both"/>
                    <w:rPr>
                      <w:sz w:val="22"/>
                      <w:szCs w:val="22"/>
                    </w:rPr>
                  </w:pPr>
                  <w:r w:rsidRPr="00C67A90">
                    <w:rPr>
                      <w:sz w:val="22"/>
                      <w:szCs w:val="22"/>
                    </w:rPr>
                    <w:t>282</w:t>
                  </w:r>
                </w:p>
              </w:tc>
              <w:tc>
                <w:tcPr>
                  <w:tcW w:w="734" w:type="dxa"/>
                </w:tcPr>
                <w:p w14:paraId="24E23ED2" w14:textId="77777777" w:rsidR="006C5819" w:rsidRPr="00C67A90" w:rsidRDefault="006C5819" w:rsidP="001A7298">
                  <w:pPr>
                    <w:framePr w:hSpace="180" w:wrap="around" w:vAnchor="text" w:hAnchor="margin" w:y="106"/>
                    <w:autoSpaceDE w:val="0"/>
                    <w:autoSpaceDN w:val="0"/>
                    <w:adjustRightInd w:val="0"/>
                    <w:ind w:right="132"/>
                    <w:jc w:val="both"/>
                    <w:rPr>
                      <w:sz w:val="22"/>
                      <w:szCs w:val="22"/>
                    </w:rPr>
                  </w:pPr>
                  <w:r w:rsidRPr="00C67A90">
                    <w:rPr>
                      <w:sz w:val="22"/>
                      <w:szCs w:val="22"/>
                    </w:rPr>
                    <w:t>0.2</w:t>
                  </w:r>
                </w:p>
              </w:tc>
              <w:tc>
                <w:tcPr>
                  <w:tcW w:w="1277" w:type="dxa"/>
                </w:tcPr>
                <w:p w14:paraId="1690BD9B" w14:textId="07D0865B" w:rsidR="006C5819" w:rsidRPr="00C67A90" w:rsidRDefault="003260FC" w:rsidP="001A7298">
                  <w:pPr>
                    <w:framePr w:hSpace="180" w:wrap="around" w:vAnchor="text" w:hAnchor="margin" w:y="106"/>
                    <w:autoSpaceDE w:val="0"/>
                    <w:autoSpaceDN w:val="0"/>
                    <w:adjustRightInd w:val="0"/>
                    <w:ind w:right="132"/>
                    <w:jc w:val="right"/>
                    <w:rPr>
                      <w:sz w:val="22"/>
                      <w:szCs w:val="22"/>
                    </w:rPr>
                  </w:pPr>
                  <w:r>
                    <w:rPr>
                      <w:sz w:val="22"/>
                      <w:szCs w:val="22"/>
                    </w:rPr>
                    <w:t>8,7</w:t>
                  </w:r>
                </w:p>
              </w:tc>
              <w:tc>
                <w:tcPr>
                  <w:tcW w:w="954" w:type="dxa"/>
                </w:tcPr>
                <w:p w14:paraId="49C6A971" w14:textId="57DE1563" w:rsidR="006C5819" w:rsidRPr="00C67A90" w:rsidRDefault="006C5819" w:rsidP="001A7298">
                  <w:pPr>
                    <w:framePr w:hSpace="180" w:wrap="around" w:vAnchor="text" w:hAnchor="margin" w:y="106"/>
                    <w:autoSpaceDE w:val="0"/>
                    <w:autoSpaceDN w:val="0"/>
                    <w:adjustRightInd w:val="0"/>
                    <w:ind w:right="132"/>
                    <w:jc w:val="both"/>
                    <w:rPr>
                      <w:sz w:val="22"/>
                      <w:szCs w:val="22"/>
                    </w:rPr>
                  </w:pPr>
                  <w:r>
                    <w:rPr>
                      <w:sz w:val="22"/>
                      <w:szCs w:val="22"/>
                    </w:rPr>
                    <w:t>297</w:t>
                  </w:r>
                </w:p>
              </w:tc>
              <w:tc>
                <w:tcPr>
                  <w:tcW w:w="734" w:type="dxa"/>
                </w:tcPr>
                <w:p w14:paraId="655F2E7D" w14:textId="0F68B1CB" w:rsidR="006C5819" w:rsidRPr="00C67A90" w:rsidRDefault="006C5819" w:rsidP="001A7298">
                  <w:pPr>
                    <w:framePr w:hSpace="180" w:wrap="around" w:vAnchor="text" w:hAnchor="margin" w:y="106"/>
                    <w:autoSpaceDE w:val="0"/>
                    <w:autoSpaceDN w:val="0"/>
                    <w:adjustRightInd w:val="0"/>
                    <w:ind w:right="132"/>
                    <w:jc w:val="both"/>
                    <w:rPr>
                      <w:sz w:val="22"/>
                      <w:szCs w:val="22"/>
                    </w:rPr>
                  </w:pPr>
                  <w:r>
                    <w:rPr>
                      <w:sz w:val="22"/>
                      <w:szCs w:val="22"/>
                    </w:rPr>
                    <w:t>0.2</w:t>
                  </w:r>
                </w:p>
              </w:tc>
            </w:tr>
            <w:tr w:rsidR="006C5819" w:rsidRPr="009700BE" w14:paraId="6C608B1A" w14:textId="77777777" w:rsidTr="00B14C36">
              <w:tc>
                <w:tcPr>
                  <w:tcW w:w="886" w:type="dxa"/>
                </w:tcPr>
                <w:p w14:paraId="55C03804" w14:textId="77777777" w:rsidR="006C5819" w:rsidRPr="009700BE" w:rsidRDefault="006C5819" w:rsidP="001A7298">
                  <w:pPr>
                    <w:framePr w:hSpace="180" w:wrap="around" w:vAnchor="text" w:hAnchor="margin" w:y="106"/>
                    <w:autoSpaceDE w:val="0"/>
                    <w:autoSpaceDN w:val="0"/>
                    <w:adjustRightInd w:val="0"/>
                    <w:ind w:right="15"/>
                    <w:jc w:val="right"/>
                    <w:rPr>
                      <w:b/>
                      <w:sz w:val="22"/>
                      <w:szCs w:val="22"/>
                    </w:rPr>
                  </w:pPr>
                  <w:r w:rsidRPr="009700BE">
                    <w:rPr>
                      <w:b/>
                      <w:sz w:val="22"/>
                      <w:szCs w:val="22"/>
                    </w:rPr>
                    <w:t>Kopā:</w:t>
                  </w:r>
                </w:p>
              </w:tc>
              <w:tc>
                <w:tcPr>
                  <w:tcW w:w="1277" w:type="dxa"/>
                </w:tcPr>
                <w:p w14:paraId="4A31C2AD" w14:textId="77777777" w:rsidR="006C5819" w:rsidRPr="009700BE" w:rsidRDefault="006C5819" w:rsidP="001A7298">
                  <w:pPr>
                    <w:framePr w:hSpace="180" w:wrap="around" w:vAnchor="text" w:hAnchor="margin" w:y="106"/>
                    <w:autoSpaceDE w:val="0"/>
                    <w:autoSpaceDN w:val="0"/>
                    <w:adjustRightInd w:val="0"/>
                    <w:ind w:right="132"/>
                    <w:jc w:val="right"/>
                    <w:rPr>
                      <w:b/>
                      <w:sz w:val="22"/>
                      <w:szCs w:val="22"/>
                    </w:rPr>
                  </w:pPr>
                  <w:r w:rsidRPr="009700BE">
                    <w:rPr>
                      <w:b/>
                      <w:sz w:val="22"/>
                      <w:szCs w:val="22"/>
                    </w:rPr>
                    <w:t>878,0</w:t>
                  </w:r>
                </w:p>
              </w:tc>
              <w:tc>
                <w:tcPr>
                  <w:tcW w:w="1064" w:type="dxa"/>
                </w:tcPr>
                <w:p w14:paraId="72063CCA" w14:textId="77777777" w:rsidR="006C5819" w:rsidRPr="009700BE" w:rsidRDefault="006C5819" w:rsidP="001A7298">
                  <w:pPr>
                    <w:framePr w:hSpace="180" w:wrap="around" w:vAnchor="text" w:hAnchor="margin" w:y="106"/>
                    <w:autoSpaceDE w:val="0"/>
                    <w:autoSpaceDN w:val="0"/>
                    <w:adjustRightInd w:val="0"/>
                    <w:ind w:right="132"/>
                    <w:jc w:val="both"/>
                    <w:rPr>
                      <w:b/>
                      <w:sz w:val="22"/>
                      <w:szCs w:val="22"/>
                    </w:rPr>
                  </w:pPr>
                  <w:r w:rsidRPr="009700BE">
                    <w:rPr>
                      <w:b/>
                      <w:sz w:val="22"/>
                      <w:szCs w:val="22"/>
                    </w:rPr>
                    <w:t>129 050</w:t>
                  </w:r>
                </w:p>
              </w:tc>
              <w:tc>
                <w:tcPr>
                  <w:tcW w:w="734" w:type="dxa"/>
                </w:tcPr>
                <w:p w14:paraId="7456F855" w14:textId="77777777" w:rsidR="006C5819" w:rsidRPr="009700BE" w:rsidRDefault="006C5819" w:rsidP="001A7298">
                  <w:pPr>
                    <w:framePr w:hSpace="180" w:wrap="around" w:vAnchor="text" w:hAnchor="margin" w:y="106"/>
                    <w:autoSpaceDE w:val="0"/>
                    <w:autoSpaceDN w:val="0"/>
                    <w:adjustRightInd w:val="0"/>
                    <w:ind w:right="132"/>
                    <w:jc w:val="both"/>
                    <w:rPr>
                      <w:b/>
                      <w:sz w:val="22"/>
                      <w:szCs w:val="22"/>
                    </w:rPr>
                  </w:pPr>
                </w:p>
              </w:tc>
              <w:tc>
                <w:tcPr>
                  <w:tcW w:w="1277" w:type="dxa"/>
                </w:tcPr>
                <w:p w14:paraId="4781C4E6" w14:textId="525E6AE1" w:rsidR="006C5819" w:rsidRPr="009700BE" w:rsidRDefault="003260FC" w:rsidP="001A7298">
                  <w:pPr>
                    <w:framePr w:hSpace="180" w:wrap="around" w:vAnchor="text" w:hAnchor="margin" w:y="106"/>
                    <w:autoSpaceDE w:val="0"/>
                    <w:autoSpaceDN w:val="0"/>
                    <w:adjustRightInd w:val="0"/>
                    <w:ind w:right="132"/>
                    <w:jc w:val="right"/>
                    <w:rPr>
                      <w:b/>
                      <w:sz w:val="22"/>
                      <w:szCs w:val="22"/>
                    </w:rPr>
                  </w:pPr>
                  <w:r>
                    <w:rPr>
                      <w:b/>
                      <w:sz w:val="22"/>
                      <w:szCs w:val="22"/>
                    </w:rPr>
                    <w:t>877,2</w:t>
                  </w:r>
                </w:p>
              </w:tc>
              <w:tc>
                <w:tcPr>
                  <w:tcW w:w="954" w:type="dxa"/>
                </w:tcPr>
                <w:p w14:paraId="586B744F" w14:textId="4F2AA762" w:rsidR="006C5819" w:rsidRPr="009700BE" w:rsidRDefault="003260FC" w:rsidP="001A7298">
                  <w:pPr>
                    <w:framePr w:hSpace="180" w:wrap="around" w:vAnchor="text" w:hAnchor="margin" w:y="106"/>
                    <w:autoSpaceDE w:val="0"/>
                    <w:autoSpaceDN w:val="0"/>
                    <w:adjustRightInd w:val="0"/>
                    <w:ind w:right="132"/>
                    <w:jc w:val="both"/>
                    <w:rPr>
                      <w:b/>
                      <w:sz w:val="22"/>
                      <w:szCs w:val="22"/>
                    </w:rPr>
                  </w:pPr>
                  <w:r>
                    <w:rPr>
                      <w:b/>
                      <w:sz w:val="22"/>
                      <w:szCs w:val="22"/>
                    </w:rPr>
                    <w:t>132 440</w:t>
                  </w:r>
                </w:p>
              </w:tc>
              <w:tc>
                <w:tcPr>
                  <w:tcW w:w="734" w:type="dxa"/>
                </w:tcPr>
                <w:p w14:paraId="2D59E2DA" w14:textId="77777777" w:rsidR="006C5819" w:rsidRPr="009700BE" w:rsidRDefault="006C5819" w:rsidP="001A7298">
                  <w:pPr>
                    <w:framePr w:hSpace="180" w:wrap="around" w:vAnchor="text" w:hAnchor="margin" w:y="106"/>
                    <w:autoSpaceDE w:val="0"/>
                    <w:autoSpaceDN w:val="0"/>
                    <w:adjustRightInd w:val="0"/>
                    <w:ind w:right="132"/>
                    <w:jc w:val="both"/>
                    <w:rPr>
                      <w:b/>
                      <w:sz w:val="22"/>
                      <w:szCs w:val="22"/>
                    </w:rPr>
                  </w:pPr>
                </w:p>
              </w:tc>
            </w:tr>
          </w:tbl>
          <w:p w14:paraId="4EC55057" w14:textId="77777777" w:rsidR="006C5819" w:rsidRDefault="006C5819" w:rsidP="006C5819">
            <w:pPr>
              <w:autoSpaceDE w:val="0"/>
              <w:autoSpaceDN w:val="0"/>
              <w:adjustRightInd w:val="0"/>
              <w:ind w:right="132"/>
              <w:jc w:val="both"/>
            </w:pPr>
          </w:p>
          <w:p w14:paraId="52BC0228" w14:textId="57692E13" w:rsidR="00A076ED" w:rsidRDefault="00826FFD" w:rsidP="00466AA2">
            <w:pPr>
              <w:ind w:right="132" w:firstLine="284"/>
              <w:jc w:val="both"/>
            </w:pPr>
            <w:r w:rsidRPr="00293C69">
              <w:t>Atbilstoši judikatūras maiņai</w:t>
            </w:r>
            <w:r>
              <w:t xml:space="preserve">, ja reģistrēts PVN maksātājs būtu iesniedzis iesniegumu par </w:t>
            </w:r>
            <w:r w:rsidR="008249E2">
              <w:t>atmaksājamās PVN summas palielinājuma</w:t>
            </w:r>
            <w:r>
              <w:t xml:space="preserve"> izmaksu,</w:t>
            </w:r>
            <w:r w:rsidRPr="00293C69">
              <w:t xml:space="preserve"> </w:t>
            </w:r>
            <w:proofErr w:type="gramStart"/>
            <w:r w:rsidRPr="00293C69">
              <w:t>2016.gadā</w:t>
            </w:r>
            <w:proofErr w:type="gramEnd"/>
            <w:r w:rsidRPr="00293C69">
              <w:t xml:space="preserve"> būtu jākompensē 1,63 milj. </w:t>
            </w:r>
            <w:r w:rsidRPr="00293C69">
              <w:rPr>
                <w:i/>
              </w:rPr>
              <w:t>euro</w:t>
            </w:r>
            <w:r w:rsidRPr="00293C69">
              <w:t>, 2017.gadā – 1,35</w:t>
            </w:r>
            <w:r w:rsidR="008249E2">
              <w:t> </w:t>
            </w:r>
            <w:r w:rsidRPr="00293C69">
              <w:t>milj.</w:t>
            </w:r>
            <w:r w:rsidRPr="00293C69">
              <w:rPr>
                <w:i/>
              </w:rPr>
              <w:t xml:space="preserve"> euro</w:t>
            </w:r>
            <w:r w:rsidR="000B7A96">
              <w:t xml:space="preserve">, </w:t>
            </w:r>
            <w:r w:rsidRPr="00293C69">
              <w:t xml:space="preserve">2018.gadā – 1,59 milj. </w:t>
            </w:r>
            <w:r w:rsidRPr="00293C69">
              <w:rPr>
                <w:i/>
              </w:rPr>
              <w:t>euro</w:t>
            </w:r>
            <w:r w:rsidR="000B7A96">
              <w:t xml:space="preserve"> un 2019.gadā – </w:t>
            </w:r>
            <w:r w:rsidR="00E63C7C">
              <w:t xml:space="preserve">0,7 milj. </w:t>
            </w:r>
            <w:r w:rsidR="000B7A96" w:rsidRPr="000B7A96">
              <w:rPr>
                <w:i/>
              </w:rPr>
              <w:t>euro</w:t>
            </w:r>
            <w:r w:rsidR="000B7A96">
              <w:t>,</w:t>
            </w:r>
            <w:r w:rsidRPr="00293C69">
              <w:t xml:space="preserve"> kompensācijai veidojot vidēji 2-3% no pēc 30.dienas atmaksātās PVN pārmaksas summas.</w:t>
            </w:r>
            <w:r w:rsidR="000B7A96">
              <w:t xml:space="preserve"> S</w:t>
            </w:r>
            <w:r>
              <w:t xml:space="preserve">ākot ar 2019.gada decembri, VID </w:t>
            </w:r>
            <w:r w:rsidR="008249E2">
              <w:t>izmaksā atmaksājamās PVN summas palielinājumu</w:t>
            </w:r>
            <w:r>
              <w:t xml:space="preserve"> bez reģistrēta PVN maksātāja iesnieguma, 2019.gadā </w:t>
            </w:r>
            <w:r w:rsidR="008249E2">
              <w:t>kompensēj</w:t>
            </w:r>
            <w:r>
              <w:t xml:space="preserve">ot </w:t>
            </w:r>
            <w:r w:rsidR="00E63C7C">
              <w:t>8070,13</w:t>
            </w:r>
            <w:r w:rsidR="006B135A">
              <w:t> </w:t>
            </w:r>
            <w:r w:rsidRPr="00826FFD">
              <w:rPr>
                <w:i/>
              </w:rPr>
              <w:t>euro</w:t>
            </w:r>
            <w:r>
              <w:t xml:space="preserve"> un 2020.gadā </w:t>
            </w:r>
            <w:r w:rsidR="008249E2">
              <w:t xml:space="preserve">- </w:t>
            </w:r>
            <w:r w:rsidR="00E63C7C">
              <w:t>155 433,</w:t>
            </w:r>
            <w:r w:rsidR="006B135A">
              <w:t>96 </w:t>
            </w:r>
            <w:r w:rsidRPr="00826FFD">
              <w:rPr>
                <w:i/>
              </w:rPr>
              <w:t>euro</w:t>
            </w:r>
            <w:r>
              <w:t xml:space="preserve">. </w:t>
            </w:r>
            <w:r w:rsidRPr="00293C69">
              <w:t xml:space="preserve">Tādēļ, lai aizsargātu valsts fiskālās </w:t>
            </w:r>
            <w:r>
              <w:t xml:space="preserve">intereses, vienlaikus nepieļaujot nepamatotu PVN pārmaksas atmaksu nepietiekamu laika resursu tās pamatotības izvērtēšanai dēļ, ir nepieciešams pārskatīt vispārīgu PVN pārmaksas atmaksas termiņu, izslēdzot iespēju to pagarināt. </w:t>
            </w:r>
          </w:p>
          <w:p w14:paraId="077B3DD8" w14:textId="740ED1C6" w:rsidR="00826FFD" w:rsidRPr="00BB7C6E" w:rsidRDefault="00D628F3" w:rsidP="00466AA2">
            <w:pPr>
              <w:ind w:right="132" w:firstLine="284"/>
              <w:jc w:val="both"/>
            </w:pPr>
            <w:r>
              <w:t>L</w:t>
            </w:r>
            <w:r w:rsidR="008249E2">
              <w:t xml:space="preserve">aika periodā no </w:t>
            </w:r>
            <w:proofErr w:type="gramStart"/>
            <w:r w:rsidR="008249E2">
              <w:t>2020.gada</w:t>
            </w:r>
            <w:proofErr w:type="gramEnd"/>
            <w:r w:rsidR="008249E2">
              <w:t xml:space="preserve"> 1.aprīļa līdz </w:t>
            </w:r>
            <w:r w:rsidR="00712C3A">
              <w:t xml:space="preserve">9.jūnijam </w:t>
            </w:r>
            <w:r w:rsidR="00125686">
              <w:t xml:space="preserve">PVN pārmaksas atmaksas kārtību </w:t>
            </w:r>
            <w:r w:rsidR="00712C3A">
              <w:t xml:space="preserve">noteica </w:t>
            </w:r>
            <w:r w:rsidR="008249E2">
              <w:t>likum</w:t>
            </w:r>
            <w:r w:rsidR="00125686">
              <w:t>s</w:t>
            </w:r>
            <w:r w:rsidR="008249E2">
              <w:t xml:space="preserve"> “</w:t>
            </w:r>
            <w:r w:rsidR="008249E2" w:rsidRPr="008249E2">
              <w:t>Par valsts apdraudējuma un tā seku novēršanas un pārvarēšanas pasākumiem sakarā ar Covid-19 izplatību”</w:t>
            </w:r>
            <w:r w:rsidR="00712C3A">
              <w:t xml:space="preserve"> un laika periodā no 2020.gada 10.jūnija līdz 31.decembrim </w:t>
            </w:r>
            <w:r>
              <w:t>to nosaka</w:t>
            </w:r>
            <w:r w:rsidR="00712C3A">
              <w:t xml:space="preserve"> </w:t>
            </w:r>
            <w:r w:rsidR="00712C3A" w:rsidRPr="00712C3A">
              <w:t xml:space="preserve">Covid-19 </w:t>
            </w:r>
            <w:r w:rsidR="00712C3A" w:rsidRPr="00712C3A">
              <w:lastRenderedPageBreak/>
              <w:t>infekcijas izplatības seku pārvarēšanas likums</w:t>
            </w:r>
            <w:r w:rsidR="00054063">
              <w:t xml:space="preserve">, </w:t>
            </w:r>
            <w:r>
              <w:t xml:space="preserve">nosakot </w:t>
            </w:r>
            <w:r w:rsidR="008249E2">
              <w:t xml:space="preserve">VID </w:t>
            </w:r>
            <w:r>
              <w:t xml:space="preserve">pienākumu veikt </w:t>
            </w:r>
            <w:r w:rsidR="008249E2" w:rsidRPr="008249E2">
              <w:t>apstiprināt</w:t>
            </w:r>
            <w:r>
              <w:t>ās</w:t>
            </w:r>
            <w:r w:rsidR="008249E2" w:rsidRPr="008249E2">
              <w:t xml:space="preserve"> PVN pārmaks</w:t>
            </w:r>
            <w:r>
              <w:t>as</w:t>
            </w:r>
            <w:r w:rsidR="008249E2" w:rsidRPr="008249E2">
              <w:t xml:space="preserve"> </w:t>
            </w:r>
            <w:r>
              <w:t xml:space="preserve">atmaksu </w:t>
            </w:r>
            <w:r w:rsidR="008249E2" w:rsidRPr="008249E2">
              <w:t xml:space="preserve">30 dienu laikā </w:t>
            </w:r>
            <w:r w:rsidR="008249E2">
              <w:t xml:space="preserve">no PVN deklarācijas vai precizētās deklarācijas iesniegšanas dienas. </w:t>
            </w:r>
            <w:r w:rsidR="00FA009E">
              <w:t xml:space="preserve">Pēc VID sniegtās informācijas </w:t>
            </w:r>
            <w:r w:rsidR="00E63C7C">
              <w:t xml:space="preserve">no </w:t>
            </w:r>
            <w:r w:rsidR="00FA009E">
              <w:t>2020.</w:t>
            </w:r>
            <w:r w:rsidR="00FA009E" w:rsidRPr="006B135A">
              <w:t xml:space="preserve">gada </w:t>
            </w:r>
            <w:r w:rsidR="00E63C7C" w:rsidRPr="006B135A">
              <w:t xml:space="preserve">1.aprīļa līdz 30.jūnijam PVN pārmaksas atmaksa vidēji notiek 10 dienās, atteikts 557 gadījumos par 3,09 milj. </w:t>
            </w:r>
            <w:r w:rsidR="00E63C7C" w:rsidRPr="006B135A">
              <w:rPr>
                <w:i/>
              </w:rPr>
              <w:t>euro</w:t>
            </w:r>
            <w:r w:rsidR="00E63C7C" w:rsidRPr="006B135A">
              <w:t xml:space="preserve">. </w:t>
            </w:r>
            <w:r>
              <w:t xml:space="preserve">Tā kā regulāra apstiprinātās PVN pārmaksas atmaksa </w:t>
            </w:r>
            <w:r w:rsidR="00A076ED">
              <w:t>veicina savlaicīgu naudas līdzekļu atgriešanu PVN maksātājiem</w:t>
            </w:r>
            <w:r>
              <w:t>, p</w:t>
            </w:r>
            <w:r w:rsidR="008249E2">
              <w:t>lānots arī turpmāk saglabāt</w:t>
            </w:r>
            <w:r>
              <w:t xml:space="preserve"> Covid-19 izraisītās krīzes laikā noteikto</w:t>
            </w:r>
            <w:r w:rsidR="008249E2">
              <w:t xml:space="preserve"> </w:t>
            </w:r>
            <w:r w:rsidR="00125686">
              <w:t>30 dienu termiņu PVN pārmaksas izvērtēšanai un atmaksai</w:t>
            </w:r>
            <w:r w:rsidR="00826FFD">
              <w:t xml:space="preserve">. </w:t>
            </w:r>
            <w:r w:rsidR="006B135A">
              <w:t xml:space="preserve">30 dienu laikā ir atmaksājama tā PVN pārmaksas summas daļa, kuras rašanās pamatotība tiek apstiprināta </w:t>
            </w:r>
            <w:r w:rsidR="00B879CD">
              <w:t xml:space="preserve">VID veiktās datu ticamības ietvaros, </w:t>
            </w:r>
            <w:r w:rsidR="002D0E63">
              <w:t>vērtē</w:t>
            </w:r>
            <w:r w:rsidR="00B879CD">
              <w:t>jot VID rīcībā esošo informāciju.</w:t>
            </w:r>
            <w:r w:rsidR="006B135A">
              <w:t xml:space="preserve"> </w:t>
            </w:r>
            <w:r w:rsidR="00B879CD">
              <w:t>S</w:t>
            </w:r>
            <w:r w:rsidR="006B135A">
              <w:t xml:space="preserve">avukārt tā PVN pārmaksas summas daļa, </w:t>
            </w:r>
            <w:r w:rsidR="00B879CD">
              <w:t xml:space="preserve">par </w:t>
            </w:r>
            <w:r w:rsidR="006B135A">
              <w:t xml:space="preserve">kuras </w:t>
            </w:r>
            <w:r w:rsidR="00B879CD">
              <w:t>rašanās pamatotību ir radušās šaubas un noteiktajā termiņā, t.i.</w:t>
            </w:r>
            <w:r w:rsidR="005E3DC3">
              <w:t>,</w:t>
            </w:r>
            <w:r w:rsidR="00B879CD">
              <w:t xml:space="preserve"> 30 dienu laikā no deklarācijas iesniegšanas termiņa vai dienas, kad tiek novēloti iesniegta vai precizēta PVN deklarācija, nav gūti ticami pierādījumi darījuma ekonomiskās būtības izvērtēšanai,</w:t>
            </w:r>
            <w:r w:rsidR="006B135A">
              <w:t xml:space="preserve"> ir atsakāma. </w:t>
            </w:r>
            <w:r w:rsidR="00BB7C6E" w:rsidRPr="00BB7C6E">
              <w:t>Ar minēto priekšlikumu nekādā veidā netiek ietekmētas VID tiesības pārbaudīt PVN nodokļa aprēķināšanas, maksāšanas un ieskaitīšanas budžetā pareizību un atbilstību normatīvajiem aktiem (t.sk. pārmaksāto PVN summu), vispārējā kārtībā veicot likumā “Par nodokļiem un nodevām” noteikto nodokļu revīziju (auditu).</w:t>
            </w:r>
            <w:r w:rsidR="00826FFD" w:rsidRPr="00BB7C6E">
              <w:t xml:space="preserve"> </w:t>
            </w:r>
          </w:p>
          <w:p w14:paraId="341ED3E0" w14:textId="115DB4E8" w:rsidR="00125686" w:rsidRDefault="00125686" w:rsidP="00466AA2">
            <w:pPr>
              <w:ind w:right="132" w:firstLine="284"/>
              <w:jc w:val="both"/>
            </w:pPr>
            <w:r>
              <w:t xml:space="preserve">2.3. PVN likuma </w:t>
            </w:r>
            <w:proofErr w:type="gramStart"/>
            <w:r>
              <w:t>109.panta</w:t>
            </w:r>
            <w:proofErr w:type="gramEnd"/>
            <w:r>
              <w:t xml:space="preserve"> piektajā daļā ir noteikti gadījumi, kad ir veicama “ātra” PVN pārmaksas atmaksa, apstiprināto summu nepārceļot līdz taksācijas gada beigām, tādējādi radot labvēlīgākus nosacījumus tiem reģistrētiem PVN maksātājiem, kuriem PVN pārmaksa rodas objektīvu apstākļu dēļ (reģistrēts PVN maksātājs veic ar PVN 0 procentu likmi apliekamus darījumus</w:t>
            </w:r>
            <w:r w:rsidRPr="000E15B3">
              <w:rPr>
                <w:lang w:eastAsia="en-US"/>
              </w:rPr>
              <w:t xml:space="preserve">, </w:t>
            </w:r>
            <w:r>
              <w:t xml:space="preserve">tas ir iegādājies </w:t>
            </w:r>
            <w:r w:rsidRPr="000E15B3">
              <w:rPr>
                <w:lang w:eastAsia="en-US"/>
              </w:rPr>
              <w:t>pamatlīdzekļu</w:t>
            </w:r>
            <w:r>
              <w:t>s</w:t>
            </w:r>
            <w:r w:rsidRPr="000E15B3">
              <w:rPr>
                <w:lang w:eastAsia="en-US"/>
              </w:rPr>
              <w:t xml:space="preserve">, </w:t>
            </w:r>
            <w:r>
              <w:t>vai</w:t>
            </w:r>
            <w:r w:rsidRPr="000E15B3">
              <w:rPr>
                <w:lang w:eastAsia="en-US"/>
              </w:rPr>
              <w:t xml:space="preserve"> arī </w:t>
            </w:r>
            <w:r>
              <w:t xml:space="preserve">iegādājies </w:t>
            </w:r>
            <w:r w:rsidRPr="000E15B3">
              <w:rPr>
                <w:lang w:eastAsia="en-US"/>
              </w:rPr>
              <w:t>preces vai saņ</w:t>
            </w:r>
            <w:r>
              <w:t>ēmis pakalpojumus</w:t>
            </w:r>
            <w:r w:rsidRPr="000E15B3">
              <w:rPr>
                <w:lang w:eastAsia="en-US"/>
              </w:rPr>
              <w:t xml:space="preserve">, kuriem </w:t>
            </w:r>
            <w:r w:rsidRPr="000E15B3">
              <w:t>piemēro</w:t>
            </w:r>
            <w:r w:rsidRPr="000E15B3">
              <w:rPr>
                <w:lang w:eastAsia="en-US"/>
              </w:rPr>
              <w:t xml:space="preserve"> apgriezto jeb reverso PVN maksāšanas kārtību</w:t>
            </w:r>
            <w:r>
              <w:rPr>
                <w:lang w:eastAsia="en-US"/>
              </w:rPr>
              <w:t>)</w:t>
            </w:r>
            <w:r w:rsidRPr="000E15B3">
              <w:rPr>
                <w:lang w:eastAsia="en-US"/>
              </w:rPr>
              <w:t>.</w:t>
            </w:r>
            <w:r>
              <w:rPr>
                <w:lang w:eastAsia="en-US"/>
              </w:rPr>
              <w:t xml:space="preserve"> Pēc VID sniegtās informācijas likumdevēja noteiktie apstākļi, kuri objektīvi pamatotu PVN pārmaksas rašanos, praksē tiek ļaunprātīgi izmantoti, tādēļ VID veic padziļinātu PVN pārmaksas rašanās pamatotības izvērtējumu arī minētajos gadījumos. 2</w:t>
            </w:r>
            <w:r>
              <w:rPr>
                <w:color w:val="000000"/>
                <w:lang w:eastAsia="en-US"/>
              </w:rPr>
              <w:t>018.gadā atteikts apstiprināt pārmaksāto PVN summu 2 165 gadījumos kopumā 13,7  milj. </w:t>
            </w:r>
            <w:r w:rsidRPr="00037E10">
              <w:rPr>
                <w:i/>
                <w:color w:val="000000"/>
                <w:lang w:eastAsia="en-US"/>
              </w:rPr>
              <w:t>euro</w:t>
            </w:r>
            <w:r>
              <w:rPr>
                <w:color w:val="000000"/>
                <w:lang w:eastAsia="en-US"/>
              </w:rPr>
              <w:t xml:space="preserve"> apmērā. “Ātras” PVN pārmaksas atmaksas nosacījumi izpildās 848 gadījumos par pārmaksāto PVN summu 11,7 milj. </w:t>
            </w:r>
            <w:r w:rsidRPr="00037E10">
              <w:rPr>
                <w:i/>
                <w:color w:val="000000"/>
                <w:lang w:eastAsia="en-US"/>
              </w:rPr>
              <w:t>euro</w:t>
            </w:r>
            <w:r>
              <w:rPr>
                <w:color w:val="000000"/>
                <w:lang w:eastAsia="en-US"/>
              </w:rPr>
              <w:t xml:space="preserve"> apmērā jeb 85 % apmērā no visas atteiktās PVN summas. </w:t>
            </w:r>
            <w:r w:rsidRPr="00037E10">
              <w:rPr>
                <w:color w:val="000000"/>
                <w:lang w:eastAsia="en-US"/>
              </w:rPr>
              <w:t>2018.gadā preventīvo pasākumu rezultātā ir precizētas 7</w:t>
            </w:r>
            <w:r>
              <w:rPr>
                <w:color w:val="000000"/>
                <w:lang w:eastAsia="en-US"/>
              </w:rPr>
              <w:t> </w:t>
            </w:r>
            <w:r w:rsidRPr="00037E10">
              <w:rPr>
                <w:color w:val="000000"/>
                <w:lang w:eastAsia="en-US"/>
              </w:rPr>
              <w:t xml:space="preserve">530 PVN deklarācijas, palielinot </w:t>
            </w:r>
            <w:r>
              <w:rPr>
                <w:color w:val="000000"/>
                <w:lang w:eastAsia="en-US"/>
              </w:rPr>
              <w:t xml:space="preserve">valsts </w:t>
            </w:r>
            <w:r w:rsidRPr="00037E10">
              <w:rPr>
                <w:color w:val="000000"/>
                <w:lang w:eastAsia="en-US"/>
              </w:rPr>
              <w:t xml:space="preserve">budžetā maksājamo </w:t>
            </w:r>
            <w:r>
              <w:rPr>
                <w:color w:val="000000"/>
                <w:lang w:eastAsia="en-US"/>
              </w:rPr>
              <w:t>PVN</w:t>
            </w:r>
            <w:r w:rsidRPr="00037E10">
              <w:rPr>
                <w:color w:val="000000"/>
                <w:lang w:eastAsia="en-US"/>
              </w:rPr>
              <w:t xml:space="preserve"> vai samazinot pārmaksātās PVN summas apmēru (fiskālais ieguvums 15,9</w:t>
            </w:r>
            <w:r>
              <w:rPr>
                <w:color w:val="000000"/>
                <w:lang w:eastAsia="en-US"/>
              </w:rPr>
              <w:t> </w:t>
            </w:r>
            <w:r w:rsidRPr="00037E10">
              <w:rPr>
                <w:color w:val="000000"/>
                <w:lang w:eastAsia="en-US"/>
              </w:rPr>
              <w:t xml:space="preserve">milj. </w:t>
            </w:r>
            <w:r w:rsidRPr="0084570C">
              <w:rPr>
                <w:i/>
                <w:color w:val="000000"/>
                <w:lang w:eastAsia="en-US"/>
              </w:rPr>
              <w:t>euro</w:t>
            </w:r>
            <w:r w:rsidRPr="00037E10">
              <w:rPr>
                <w:color w:val="000000"/>
                <w:lang w:eastAsia="en-US"/>
              </w:rPr>
              <w:t>), uz kurām 2</w:t>
            </w:r>
            <w:r>
              <w:rPr>
                <w:color w:val="000000"/>
                <w:lang w:eastAsia="en-US"/>
              </w:rPr>
              <w:t> </w:t>
            </w:r>
            <w:r w:rsidRPr="00037E10">
              <w:rPr>
                <w:color w:val="000000"/>
                <w:lang w:eastAsia="en-US"/>
              </w:rPr>
              <w:t xml:space="preserve">245 gadījumos bija attiecināmi </w:t>
            </w:r>
            <w:r>
              <w:rPr>
                <w:color w:val="000000"/>
                <w:lang w:eastAsia="en-US"/>
              </w:rPr>
              <w:t xml:space="preserve">“ātras” PVN pārmaksas </w:t>
            </w:r>
            <w:r w:rsidRPr="00037E10">
              <w:rPr>
                <w:color w:val="000000"/>
                <w:lang w:eastAsia="en-US"/>
              </w:rPr>
              <w:t>atmaksas nosacījumi (fiskālais ieguvums 13,5</w:t>
            </w:r>
            <w:r>
              <w:rPr>
                <w:color w:val="000000"/>
                <w:lang w:eastAsia="en-US"/>
              </w:rPr>
              <w:t> </w:t>
            </w:r>
            <w:r w:rsidRPr="00037E10">
              <w:rPr>
                <w:color w:val="000000"/>
                <w:lang w:eastAsia="en-US"/>
              </w:rPr>
              <w:t xml:space="preserve">milj. </w:t>
            </w:r>
            <w:r w:rsidRPr="0084570C">
              <w:rPr>
                <w:i/>
                <w:color w:val="000000"/>
                <w:lang w:eastAsia="en-US"/>
              </w:rPr>
              <w:t>euro</w:t>
            </w:r>
            <w:r w:rsidRPr="00037E10">
              <w:rPr>
                <w:color w:val="000000"/>
                <w:lang w:eastAsia="en-US"/>
              </w:rPr>
              <w:t>).</w:t>
            </w:r>
            <w:r>
              <w:rPr>
                <w:color w:val="000000"/>
                <w:lang w:eastAsia="en-US"/>
              </w:rPr>
              <w:t xml:space="preserve"> </w:t>
            </w:r>
            <w:r w:rsidR="00E63C7C" w:rsidRPr="002D0E63">
              <w:rPr>
                <w:lang w:eastAsia="en-US"/>
              </w:rPr>
              <w:t>Par 2019.gada decembri/4.ceturksni iesniegtas 25</w:t>
            </w:r>
            <w:r w:rsidR="002D0E63" w:rsidRPr="002D0E63">
              <w:rPr>
                <w:lang w:eastAsia="en-US"/>
              </w:rPr>
              <w:t> </w:t>
            </w:r>
            <w:r w:rsidR="00E63C7C" w:rsidRPr="002D0E63">
              <w:rPr>
                <w:lang w:eastAsia="en-US"/>
              </w:rPr>
              <w:t xml:space="preserve">641 PVN deklarācijas, kurās deklarēta pārmaksātā PVN summa kopumā 73,8 milj. </w:t>
            </w:r>
            <w:r w:rsidR="00E63C7C" w:rsidRPr="002D0E63">
              <w:rPr>
                <w:i/>
                <w:lang w:eastAsia="en-US"/>
              </w:rPr>
              <w:t>euro</w:t>
            </w:r>
            <w:r w:rsidR="00E63C7C" w:rsidRPr="002D0E63">
              <w:rPr>
                <w:lang w:eastAsia="en-US"/>
              </w:rPr>
              <w:t xml:space="preserve"> apmērā, no kurām 6 843 gadījumos izpildās “ātras” PVN pārmaksas atmaksas nosacījumi par pārmaksāto PVN summu 64,6 milj. </w:t>
            </w:r>
            <w:r w:rsidR="00E63C7C" w:rsidRPr="002D0E63">
              <w:rPr>
                <w:i/>
                <w:lang w:eastAsia="en-US"/>
              </w:rPr>
              <w:t>euro</w:t>
            </w:r>
            <w:r w:rsidR="00E63C7C" w:rsidRPr="002D0E63">
              <w:rPr>
                <w:lang w:eastAsia="en-US"/>
              </w:rPr>
              <w:t xml:space="preserve"> apmērā jeb 87,5 % apmērā no visas mēnesī/ceturksnī deklarētās pārmaksātās PVN summas. No minētajām PVN deklarācijām ir iesniegta 8 737 tāda, kurā deklarētā pārmaksātā PVN summa pārsniedz 500 </w:t>
            </w:r>
            <w:r w:rsidR="00E63C7C" w:rsidRPr="002D0E63">
              <w:rPr>
                <w:i/>
                <w:lang w:eastAsia="en-US"/>
              </w:rPr>
              <w:t>euro</w:t>
            </w:r>
            <w:r w:rsidR="00E63C7C" w:rsidRPr="002D0E63">
              <w:rPr>
                <w:lang w:eastAsia="en-US"/>
              </w:rPr>
              <w:t xml:space="preserve">, par summu 71,6 milj. </w:t>
            </w:r>
            <w:r w:rsidR="00E63C7C" w:rsidRPr="002D0E63">
              <w:rPr>
                <w:i/>
                <w:lang w:eastAsia="en-US"/>
              </w:rPr>
              <w:t>euro</w:t>
            </w:r>
            <w:r w:rsidR="00E63C7C" w:rsidRPr="002D0E63">
              <w:rPr>
                <w:lang w:eastAsia="en-US"/>
              </w:rPr>
              <w:t xml:space="preserve"> apmērā, no kurām “ātras” PVN pārmaksas atmaksas nosacījumi izpildās 3 777 gadījumos un no valsts budžeta atmaksājamā PVN summa 64,2 milj. </w:t>
            </w:r>
            <w:r w:rsidR="00E63C7C" w:rsidRPr="002D0E63">
              <w:rPr>
                <w:i/>
                <w:lang w:eastAsia="en-US"/>
              </w:rPr>
              <w:t>euro</w:t>
            </w:r>
            <w:r w:rsidR="00E63C7C" w:rsidRPr="002D0E63">
              <w:rPr>
                <w:lang w:eastAsia="en-US"/>
              </w:rPr>
              <w:t xml:space="preserve"> apmērā jeb 89,6 % no deklarētās PVN summas. Šīm deklarācijām elektroniskās riska analīzes rezultātā riski tiek konstatēti 6 577 gadījumos jeb 75 % par PVN summu 58,3 milj</w:t>
            </w:r>
            <w:r w:rsidR="00E63C7C">
              <w:rPr>
                <w:color w:val="000000"/>
                <w:lang w:eastAsia="en-US"/>
              </w:rPr>
              <w:t xml:space="preserve">. </w:t>
            </w:r>
            <w:r w:rsidR="00E63C7C" w:rsidRPr="0084570C">
              <w:rPr>
                <w:i/>
                <w:color w:val="000000"/>
                <w:lang w:eastAsia="en-US"/>
              </w:rPr>
              <w:t>euro</w:t>
            </w:r>
            <w:r w:rsidR="00E63C7C">
              <w:rPr>
                <w:color w:val="000000"/>
                <w:lang w:eastAsia="en-US"/>
              </w:rPr>
              <w:t xml:space="preserve"> apmērā. Ņemot vērā minēto, valsts budžeta fiskālo interešu aizsargāšanai nolemts atteikties no īpašu “ātras” PVN pārmaksas atmaksas nosacījumu, kuri objektīvi izskaidro PVN pārmaksas rašanās iemeslus, piemērošanas.</w:t>
            </w:r>
            <w:r>
              <w:rPr>
                <w:color w:val="000000"/>
                <w:lang w:eastAsia="en-US"/>
              </w:rPr>
              <w:t>.</w:t>
            </w:r>
          </w:p>
          <w:p w14:paraId="3B3B8CB5" w14:textId="0AA13A47" w:rsidR="00125686" w:rsidRDefault="00125686" w:rsidP="00466AA2">
            <w:pPr>
              <w:ind w:right="132" w:firstLine="284"/>
              <w:jc w:val="both"/>
            </w:pPr>
            <w:r>
              <w:lastRenderedPageBreak/>
              <w:t xml:space="preserve">2.4. </w:t>
            </w:r>
            <w:r w:rsidR="00054063">
              <w:t>L</w:t>
            </w:r>
            <w:r w:rsidR="005846FF">
              <w:t xml:space="preserve">ikuma “Par nodokļiem un nodevām” </w:t>
            </w:r>
            <w:proofErr w:type="gramStart"/>
            <w:r w:rsidR="005846FF">
              <w:t>28.panta</w:t>
            </w:r>
            <w:proofErr w:type="gramEnd"/>
            <w:r w:rsidR="005846FF">
              <w:t xml:space="preserve"> ceturtā daļa paredz, ka </w:t>
            </w:r>
            <w:r w:rsidR="005846FF" w:rsidRPr="00021F0B">
              <w:t>nodokļu administrācija pārmaksātās nodokļu summas bez nodokļu maksātāja iesnieguma vispirms novirza nokavēto nodokļu un ar tiem saistīto maksājumu segšanai, vienlaikus proporcionāli sedzot pamatparādu, soda naudu un nokavējuma naudu.</w:t>
            </w:r>
            <w:r w:rsidR="005846FF">
              <w:t xml:space="preserve"> </w:t>
            </w:r>
            <w:r>
              <w:t xml:space="preserve">PVN likuma </w:t>
            </w:r>
            <w:proofErr w:type="gramStart"/>
            <w:r>
              <w:t>109.panta</w:t>
            </w:r>
            <w:proofErr w:type="gramEnd"/>
            <w:r>
              <w:t xml:space="preserve"> </w:t>
            </w:r>
            <w:r w:rsidRPr="0067187B">
              <w:t>otrā daļa</w:t>
            </w:r>
            <w:r>
              <w:t xml:space="preserve"> nosaka VID pienākumu segt kārtējos un nokavētos nodokļu maksājumus pirms apstiprinātā PVN pārmaksa tiek pārcelta uz nākamajiem taksācijas periodiem.</w:t>
            </w:r>
            <w:r w:rsidR="00021F0B">
              <w:t xml:space="preserve"> </w:t>
            </w:r>
            <w:r>
              <w:t xml:space="preserve">Tā kā </w:t>
            </w:r>
            <w:proofErr w:type="gramStart"/>
            <w:r>
              <w:t>2021.gada</w:t>
            </w:r>
            <w:proofErr w:type="gramEnd"/>
            <w:r>
              <w:t xml:space="preserve"> 1.janvārī stājas spēkā vienotā nodokļu konta</w:t>
            </w:r>
            <w:r>
              <w:rPr>
                <w:rStyle w:val="FootnoteReference"/>
              </w:rPr>
              <w:footnoteReference w:id="4"/>
            </w:r>
            <w:r>
              <w:t xml:space="preserve"> regulējums, ir nepieciešams paredzēt vienotus nosacījumus kārtējo un nokavēto nodokļu maksājumu segšanai, proti, </w:t>
            </w:r>
            <w:r w:rsidR="00054063">
              <w:t xml:space="preserve">pirms apstiprinātā PVN pārmaksa tiek atmaksāta, ir sedzami </w:t>
            </w:r>
            <w:r>
              <w:t>kārtējie un nokavētie nodokļu maksājumi atbilstoši likumā “Par nodokļiem un nodevām” noteiktajai vispārējai kārtībai.</w:t>
            </w:r>
          </w:p>
          <w:p w14:paraId="1BDB2858" w14:textId="56CCE2D1" w:rsidR="00021F0B" w:rsidRDefault="00021F0B" w:rsidP="00630FCF">
            <w:pPr>
              <w:ind w:right="132" w:firstLine="284"/>
              <w:jc w:val="both"/>
            </w:pPr>
            <w:r>
              <w:t>2.5. PVN l</w:t>
            </w:r>
            <w:r w:rsidRPr="00BB04CE">
              <w:t xml:space="preserve">ikuma </w:t>
            </w:r>
            <w:proofErr w:type="gramStart"/>
            <w:r w:rsidRPr="00BB04CE">
              <w:t>109.panta</w:t>
            </w:r>
            <w:proofErr w:type="gramEnd"/>
            <w:r w:rsidRPr="00BB04CE">
              <w:t xml:space="preserve"> sestā, septītā un astotā daļa nosaka speciālo kārtību, kādā ir atmaksājama </w:t>
            </w:r>
            <w:r w:rsidR="00054063">
              <w:t xml:space="preserve">apstiprināta </w:t>
            </w:r>
            <w:r w:rsidRPr="00BB04CE">
              <w:t xml:space="preserve">PVN pārmaksa, ja reģistrēts PVN maksātājs ir izslēgts no VID PVN maksātāju reģistra, paredzot veikt PVN pārmaksas atmaksu tikai pēc </w:t>
            </w:r>
            <w:r>
              <w:t xml:space="preserve">personas </w:t>
            </w:r>
            <w:r w:rsidRPr="00BB04CE">
              <w:t>pieprasījuma ne vēlāk kā četrus mēnešus no izslēgšanas brīža. Ja noteiktajā termiņā PVN pārmaksa netiek pieprasīta</w:t>
            </w:r>
            <w:r>
              <w:t>, iesniedzot iesniegumu nodokļu administrācijai</w:t>
            </w:r>
            <w:r w:rsidRPr="00BB04CE">
              <w:t xml:space="preserve">, VID </w:t>
            </w:r>
            <w:r>
              <w:t xml:space="preserve">ir </w:t>
            </w:r>
            <w:r w:rsidRPr="00BB04CE">
              <w:t xml:space="preserve">pienākums to dzēst. </w:t>
            </w:r>
            <w:r w:rsidR="00630FCF">
              <w:t>Ņemot vērā, ka laik</w:t>
            </w:r>
            <w:r w:rsidR="00AC7EEB">
              <w:t>a</w:t>
            </w:r>
            <w:r w:rsidR="00630FCF">
              <w:t xml:space="preserve"> periodā no 2020.gada 1.aprīļa līdz 31.decembrim atbilstoši speciālajam regulējumam</w:t>
            </w:r>
            <w:r w:rsidR="00630FCF">
              <w:rPr>
                <w:rStyle w:val="FootnoteReference"/>
              </w:rPr>
              <w:footnoteReference w:id="5"/>
            </w:r>
            <w:r w:rsidR="00630FCF">
              <w:t xml:space="preserve"> tiek nodrošināta regulāra apstiprinātās PVN pārmaksas atmaksa</w:t>
            </w:r>
            <w:r w:rsidR="00BB6ABC">
              <w:t xml:space="preserve"> un</w:t>
            </w:r>
            <w:r w:rsidR="00630FCF">
              <w:t xml:space="preserve"> apstiprinātā PVN pārmaksas summa </w:t>
            </w:r>
            <w:r w:rsidR="00BB6ABC">
              <w:t xml:space="preserve">vairs </w:t>
            </w:r>
            <w:r w:rsidR="00630FCF">
              <w:t xml:space="preserve">netiek uzkrāta valsts budžetā, </w:t>
            </w:r>
            <w:r w:rsidR="00BB6ABC">
              <w:t xml:space="preserve">nav nepieciešams saglabāt īpašus nosacījumus apstiprinātās PVN pārmaksas atmaksai personām, kuras ir izslēgtas no VID PVN maksātāju reģistra. </w:t>
            </w:r>
            <w:r w:rsidR="008979A7">
              <w:t>Personas, kuras ir izslēgtas no VID PVN maksātāju reģistra, turpmāk a</w:t>
            </w:r>
            <w:r w:rsidR="00BB6ABC">
              <w:t>pstiprinātās PVN pārmaksas atmaks</w:t>
            </w:r>
            <w:r w:rsidR="008979A7">
              <w:t xml:space="preserve">u saņems </w:t>
            </w:r>
            <w:r w:rsidR="00BB6ABC">
              <w:t>vispārējā kārtībā – 30 dienu laikā no pirmreizējās vai precizētās PVN deklarācijas iesniegšanas dienas.</w:t>
            </w:r>
            <w:r w:rsidR="00630FCF">
              <w:t xml:space="preserve"> </w:t>
            </w:r>
          </w:p>
          <w:p w14:paraId="77F21373" w14:textId="5972E48D" w:rsidR="009D266D" w:rsidRDefault="00021F0B" w:rsidP="00466AA2">
            <w:pPr>
              <w:ind w:right="132" w:firstLine="284"/>
              <w:jc w:val="both"/>
            </w:pPr>
            <w:r>
              <w:t xml:space="preserve">2.6. </w:t>
            </w:r>
            <w:r w:rsidR="005846FF">
              <w:t xml:space="preserve">Jaunā PVN pārmaksas atmaksas kārtība ir attiecināma uz tādu PVN pārmaksas summu, kas uzrādīta tādā PVN deklarācijā, kura </w:t>
            </w:r>
            <w:r w:rsidR="005846FF" w:rsidRPr="00E35DE8">
              <w:t>iesniegta</w:t>
            </w:r>
            <w:r w:rsidR="005846FF" w:rsidRPr="00E35DE8" w:rsidDel="004E1514">
              <w:t xml:space="preserve"> </w:t>
            </w:r>
            <w:r w:rsidR="005846FF">
              <w:t xml:space="preserve">VID, sākot ar </w:t>
            </w:r>
            <w:proofErr w:type="gramStart"/>
            <w:r w:rsidR="005846FF">
              <w:t>2021.gada</w:t>
            </w:r>
            <w:proofErr w:type="gramEnd"/>
            <w:r w:rsidR="005846FF">
              <w:t xml:space="preserve"> 1.janvāri, t.sk. arī PVN deklarācij</w:t>
            </w:r>
            <w:r w:rsidR="00054063">
              <w:t>ā</w:t>
            </w:r>
            <w:r w:rsidR="005846FF">
              <w:t xml:space="preserve"> par 2020.gada decembri un 2020.gada IV ceturksni, jo to iesniegšanas termiņš atbilstoši PVN likumā noteiktajam iestājas 2021.gada 20.janvārī. Līdzīga kārtība ir piemērojama arī vērtējot PVN pārmaksas rašanās pamatotību pēc precizētās PVN deklarācijas par iepriekšējiem taksācijas periodiem, ja tās tiks iesniegtas pēc 2021.gada 1.janvāra.</w:t>
            </w:r>
          </w:p>
          <w:p w14:paraId="63D31416" w14:textId="051FE9A1" w:rsidR="00D00308" w:rsidRDefault="00B008E4" w:rsidP="00466AA2">
            <w:pPr>
              <w:ind w:right="132" w:firstLine="284"/>
              <w:jc w:val="both"/>
            </w:pPr>
            <w:r>
              <w:t xml:space="preserve">2.7. </w:t>
            </w:r>
            <w:r w:rsidR="0034731D">
              <w:t>Saskaņā ar speciālajā regulējumā</w:t>
            </w:r>
            <w:r w:rsidR="0034731D">
              <w:rPr>
                <w:rStyle w:val="FootnoteReference"/>
              </w:rPr>
              <w:footnoteReference w:id="6"/>
            </w:r>
            <w:r w:rsidR="0034731D">
              <w:t xml:space="preserve"> noteikto laika periodā no </w:t>
            </w:r>
            <w:proofErr w:type="gramStart"/>
            <w:r w:rsidR="0034731D">
              <w:t>2020.gada</w:t>
            </w:r>
            <w:proofErr w:type="gramEnd"/>
            <w:r w:rsidR="0034731D">
              <w:t xml:space="preserve"> 1.aprīļa līdz 31.decembrim nav piemērojama </w:t>
            </w:r>
            <w:hyperlink r:id="rId11" w:tgtFrame="_blank" w:history="1">
              <w:r w:rsidR="0034731D">
                <w:t>PVN</w:t>
              </w:r>
              <w:r w:rsidR="0034731D" w:rsidRPr="0034731D">
                <w:t xml:space="preserve"> likuma</w:t>
              </w:r>
            </w:hyperlink>
            <w:r w:rsidR="0034731D" w:rsidRPr="0034731D">
              <w:t xml:space="preserve"> </w:t>
            </w:r>
            <w:hyperlink r:id="rId12" w:anchor="p109" w:tgtFrame="_blank" w:history="1">
              <w:r w:rsidR="0034731D" w:rsidRPr="0034731D">
                <w:t xml:space="preserve">109. </w:t>
              </w:r>
            </w:hyperlink>
            <w:r w:rsidR="0034731D" w:rsidRPr="0034731D">
              <w:t xml:space="preserve">un </w:t>
            </w:r>
            <w:hyperlink r:id="rId13" w:anchor="p110" w:tgtFrame="_blank" w:history="1">
              <w:r w:rsidR="0034731D">
                <w:t>110.</w:t>
              </w:r>
              <w:r w:rsidR="0034731D" w:rsidRPr="0034731D">
                <w:t>pantā</w:t>
              </w:r>
            </w:hyperlink>
            <w:r w:rsidR="0034731D" w:rsidRPr="0034731D">
              <w:t xml:space="preserve"> noteiktā kārtība</w:t>
            </w:r>
            <w:r w:rsidR="000E7761">
              <w:t>, un PVN pārmaksas apstiprināšanas termiņš vairs netiek pagarināts</w:t>
            </w:r>
            <w:r w:rsidR="0034731D">
              <w:t xml:space="preserve">. </w:t>
            </w:r>
            <w:r w:rsidR="002D0E63">
              <w:t>L</w:t>
            </w:r>
            <w:r w:rsidR="003E0248">
              <w:t xml:space="preserve">aika periodā </w:t>
            </w:r>
            <w:r w:rsidR="002D0E63">
              <w:t>līdz</w:t>
            </w:r>
            <w:r w:rsidR="003E0248">
              <w:t xml:space="preserve"> </w:t>
            </w:r>
            <w:proofErr w:type="gramStart"/>
            <w:r w:rsidR="003E0248">
              <w:t>2020.gada</w:t>
            </w:r>
            <w:proofErr w:type="gramEnd"/>
            <w:r w:rsidR="003E0248">
              <w:t xml:space="preserve"> 31.mart</w:t>
            </w:r>
            <w:r w:rsidR="002D0E63">
              <w:t>am</w:t>
            </w:r>
            <w:r w:rsidR="003E0248">
              <w:t xml:space="preserve">, pamatojoties uz PVN likuma 110.pantā noteikto, VID ir pagarinājis PVN pārmaksas apstiprināšanas </w:t>
            </w:r>
            <w:r w:rsidR="003E0248" w:rsidRPr="002D0E63">
              <w:t xml:space="preserve">termiņu 633 gadījumos par </w:t>
            </w:r>
            <w:r w:rsidR="003E0248" w:rsidRPr="002D0E63">
              <w:rPr>
                <w:lang w:eastAsia="en-US"/>
              </w:rPr>
              <w:t xml:space="preserve">pārmaksāto PVN summu 3,9 milj. </w:t>
            </w:r>
            <w:r w:rsidR="003E0248" w:rsidRPr="002D0E63">
              <w:rPr>
                <w:i/>
                <w:lang w:eastAsia="en-US"/>
              </w:rPr>
              <w:t>euro</w:t>
            </w:r>
            <w:r w:rsidR="003E0248" w:rsidRPr="002D0E63">
              <w:t xml:space="preserve">. </w:t>
            </w:r>
            <w:r w:rsidR="00D00308" w:rsidRPr="002D0E63">
              <w:t xml:space="preserve">Lai nodrošinātu </w:t>
            </w:r>
            <w:r w:rsidR="00D00308">
              <w:t>tiesisku noteiktību</w:t>
            </w:r>
            <w:r w:rsidR="000E7761">
              <w:t xml:space="preserve"> un mazinātu interpretācijas iespējas, kādā termiņā ir veicama PVN pārmaksas atmaksa, kuras apstiprināšanas termiņš bija pagarināts saskaņā ar PVN likuma regulējumu un apstiprināšana notikusi pēc </w:t>
            </w:r>
            <w:proofErr w:type="gramStart"/>
            <w:r w:rsidR="000E7761">
              <w:t>2020.gada</w:t>
            </w:r>
            <w:proofErr w:type="gramEnd"/>
            <w:r w:rsidR="000E7761">
              <w:t xml:space="preserve"> 1.aprīļa,</w:t>
            </w:r>
            <w:r w:rsidR="00A62924">
              <w:t xml:space="preserve"> ar likuma pārejas noteikumiem</w:t>
            </w:r>
            <w:r w:rsidR="000E7761">
              <w:t xml:space="preserve"> </w:t>
            </w:r>
            <w:r w:rsidR="00D00308">
              <w:t xml:space="preserve">ir </w:t>
            </w:r>
            <w:r w:rsidR="000E7761">
              <w:t>jā</w:t>
            </w:r>
            <w:r w:rsidR="004A671E">
              <w:t>nosaka</w:t>
            </w:r>
            <w:r w:rsidR="000E7761">
              <w:t xml:space="preserve"> konkrēts termiņš, kādā VID veic faktisku </w:t>
            </w:r>
            <w:r w:rsidR="004A671E">
              <w:lastRenderedPageBreak/>
              <w:t xml:space="preserve">apstiprinātās PVN pārmaksas </w:t>
            </w:r>
            <w:r w:rsidR="000E7761" w:rsidRPr="000E7761">
              <w:t>atmaks</w:t>
            </w:r>
            <w:r w:rsidR="000E7761">
              <w:t>u, t.i.,</w:t>
            </w:r>
            <w:r w:rsidR="000E7761" w:rsidRPr="000E7761">
              <w:t xml:space="preserve"> ne vēlāk kā nākamajā darbdienā pēc </w:t>
            </w:r>
            <w:r w:rsidR="000E7761">
              <w:t>PVN pārmaksas</w:t>
            </w:r>
            <w:r w:rsidR="000E7761" w:rsidRPr="000E7761">
              <w:t xml:space="preserve"> pamatotības apstiprināšanas. </w:t>
            </w:r>
            <w:r w:rsidR="004A671E">
              <w:t xml:space="preserve">Ar minēto priekšlikumu netiek izslēgts VID pienākums aprēķināt nokavējuma naudu, ja </w:t>
            </w:r>
            <w:r w:rsidR="004A671E" w:rsidRPr="004A671E">
              <w:t>pārmaksātās nodokļu summas nepamatoti netiek atmaksātas konkrētā nodokļa likumā noteiktajā termiņā</w:t>
            </w:r>
            <w:r w:rsidR="00A62924">
              <w:t>,</w:t>
            </w:r>
            <w:r w:rsidR="004A671E" w:rsidRPr="004A671E">
              <w:t xml:space="preserve"> kā to paredz likums “Par nodokļiem un nodevām”</w:t>
            </w:r>
            <w:r w:rsidR="00A62924">
              <w:t xml:space="preserve"> (</w:t>
            </w:r>
            <w:r w:rsidR="00A62924" w:rsidRPr="00C60879">
              <w:rPr>
                <w:iCs/>
                <w:lang w:eastAsia="en-US"/>
              </w:rPr>
              <w:t>Augstākās tiesas Administratīvo lietu departamenta spriedum</w:t>
            </w:r>
            <w:r w:rsidR="00A62924">
              <w:rPr>
                <w:iCs/>
                <w:lang w:eastAsia="en-US"/>
              </w:rPr>
              <w:t>ā</w:t>
            </w:r>
            <w:r w:rsidR="00A62924" w:rsidRPr="00C60879">
              <w:rPr>
                <w:iCs/>
                <w:lang w:eastAsia="en-US"/>
              </w:rPr>
              <w:t xml:space="preserve"> lietā Nr.SKA-95/2015 nolemt</w:t>
            </w:r>
            <w:r w:rsidR="00A62924">
              <w:rPr>
                <w:iCs/>
                <w:lang w:eastAsia="en-US"/>
              </w:rPr>
              <w:t>ais</w:t>
            </w:r>
            <w:r w:rsidR="00A62924">
              <w:t>)</w:t>
            </w:r>
            <w:r w:rsidR="004A671E" w:rsidRPr="004A671E">
              <w:t>.</w:t>
            </w:r>
          </w:p>
          <w:p w14:paraId="257B3AA9" w14:textId="52AE05E9" w:rsidR="00270D65" w:rsidRDefault="00270D65" w:rsidP="00466AA2">
            <w:pPr>
              <w:ind w:right="132"/>
              <w:jc w:val="both"/>
            </w:pPr>
          </w:p>
          <w:p w14:paraId="7B21B564" w14:textId="44154852" w:rsidR="00270D65" w:rsidRDefault="00270D65" w:rsidP="00466AA2">
            <w:pPr>
              <w:pStyle w:val="ListParagraph"/>
              <w:numPr>
                <w:ilvl w:val="0"/>
                <w:numId w:val="24"/>
              </w:numPr>
              <w:ind w:right="132"/>
              <w:jc w:val="both"/>
              <w:rPr>
                <w:b/>
                <w:i/>
              </w:rPr>
            </w:pPr>
            <w:r w:rsidRPr="00AF3553">
              <w:rPr>
                <w:b/>
                <w:i/>
              </w:rPr>
              <w:t>Depozīta sistēma</w:t>
            </w:r>
          </w:p>
          <w:p w14:paraId="7F84494D" w14:textId="22ECFDB9" w:rsidR="00840BFE" w:rsidRPr="00840BFE" w:rsidRDefault="00840BFE" w:rsidP="00466AA2">
            <w:pPr>
              <w:ind w:right="132" w:firstLine="284"/>
              <w:jc w:val="both"/>
              <w:rPr>
                <w:b/>
                <w:i/>
              </w:rPr>
            </w:pPr>
            <w:r w:rsidRPr="00840BFE">
              <w:t>Regulējuma mērķis ir</w:t>
            </w:r>
            <w:r>
              <w:rPr>
                <w:b/>
                <w:i/>
              </w:rPr>
              <w:t xml:space="preserve"> </w:t>
            </w:r>
            <w:r>
              <w:rPr>
                <w:iCs/>
                <w:lang w:eastAsia="en-US"/>
              </w:rPr>
              <w:t xml:space="preserve">saskaņot PVN likuma regulējumu ar grozījumiem Iepakojuma likumā, ar kuriem </w:t>
            </w:r>
            <w:r w:rsidR="008670DE">
              <w:rPr>
                <w:iCs/>
                <w:lang w:eastAsia="en-US"/>
              </w:rPr>
              <w:t xml:space="preserve">ar </w:t>
            </w:r>
            <w:proofErr w:type="gramStart"/>
            <w:r w:rsidR="008670DE">
              <w:rPr>
                <w:iCs/>
                <w:lang w:eastAsia="en-US"/>
              </w:rPr>
              <w:t>202</w:t>
            </w:r>
            <w:r w:rsidR="001A7298">
              <w:rPr>
                <w:iCs/>
                <w:lang w:eastAsia="en-US"/>
              </w:rPr>
              <w:t>2</w:t>
            </w:r>
            <w:bookmarkStart w:id="2" w:name="_GoBack"/>
            <w:bookmarkEnd w:id="2"/>
            <w:r w:rsidR="008670DE">
              <w:rPr>
                <w:iCs/>
                <w:lang w:eastAsia="en-US"/>
              </w:rPr>
              <w:t>.gada</w:t>
            </w:r>
            <w:proofErr w:type="gramEnd"/>
            <w:r w:rsidR="008670DE">
              <w:rPr>
                <w:iCs/>
                <w:lang w:eastAsia="en-US"/>
              </w:rPr>
              <w:t xml:space="preserve"> 1.februāri </w:t>
            </w:r>
            <w:r>
              <w:rPr>
                <w:iCs/>
                <w:lang w:eastAsia="en-US"/>
              </w:rPr>
              <w:t>ievieš obligāto depozīta sistēmu atkārtoti lietojamam un vienreiz lietojamam iepakojumam.</w:t>
            </w:r>
          </w:p>
          <w:p w14:paraId="7D28E276" w14:textId="333831C5" w:rsidR="00B62A3D" w:rsidRDefault="008670DE" w:rsidP="00466AA2">
            <w:pPr>
              <w:ind w:right="132" w:firstLine="284"/>
              <w:jc w:val="both"/>
            </w:pPr>
            <w:r>
              <w:t xml:space="preserve">Šobrīd </w:t>
            </w:r>
            <w:r w:rsidR="006A60EF">
              <w:t>PVN</w:t>
            </w:r>
            <w:r w:rsidR="00B62A3D">
              <w:t xml:space="preserve"> likumā ir ieviestas atsevišķās normas attiecībā uz </w:t>
            </w:r>
            <w:r w:rsidR="006A60EF">
              <w:t xml:space="preserve">depozīta sistēmu atkārtoti lietojamam iepakojumam. </w:t>
            </w:r>
            <w:r>
              <w:t xml:space="preserve">PVN likuma </w:t>
            </w:r>
            <w:proofErr w:type="gramStart"/>
            <w:r w:rsidR="006A60EF">
              <w:t>39.pantā</w:t>
            </w:r>
            <w:proofErr w:type="gramEnd"/>
            <w:r w:rsidR="006A60EF">
              <w:t xml:space="preserve"> ir noteikts, ka darījuma ar PVN apliekamajā vērtībā neiekļauj atkārtoti lietojamā depozīta maksu. Savukārt </w:t>
            </w:r>
            <w:r>
              <w:t xml:space="preserve">PVN likuma </w:t>
            </w:r>
            <w:proofErr w:type="gramStart"/>
            <w:r w:rsidR="006A60EF">
              <w:t>90.pantā</w:t>
            </w:r>
            <w:proofErr w:type="gramEnd"/>
            <w:r w:rsidR="006A60EF">
              <w:t xml:space="preserve"> reģistrētam PVN maksātājam</w:t>
            </w:r>
            <w:r w:rsidR="009F4DB7">
              <w:t>, kurš atkārtoti lietojama</w:t>
            </w:r>
            <w:r w:rsidR="00466AA2">
              <w:t>m</w:t>
            </w:r>
            <w:r w:rsidR="009F4DB7">
              <w:t xml:space="preserve"> iepakojumam piemēro depozīta sistēmu,</w:t>
            </w:r>
            <w:r w:rsidR="006A60EF">
              <w:t xml:space="preserve"> ir noteikts pienākums</w:t>
            </w:r>
            <w:r w:rsidR="009F4DB7">
              <w:t>, iesniedzot deklarāciju par taksācijas gadu, koriģēt</w:t>
            </w:r>
            <w:r w:rsidR="006A60EF">
              <w:t xml:space="preserve"> </w:t>
            </w:r>
            <w:r w:rsidR="009F4DB7">
              <w:t xml:space="preserve">piegādāto preču ar PVN apliekamo vērtību par atpakaļ nesaņemtā depozīta iepakojuma vērtību un iemaksāt aprēķināto PVN summu valsts budžetā. Tāpat PVN likuma </w:t>
            </w:r>
            <w:proofErr w:type="gramStart"/>
            <w:r w:rsidR="009F4DB7">
              <w:t>117.panta</w:t>
            </w:r>
            <w:proofErr w:type="gramEnd"/>
            <w:r w:rsidR="009F4DB7">
              <w:t xml:space="preserve"> piektās daļas 4.punktā reģistrētam PVN maksātājam ir noteikts pienākums iesniegt deklarāciju par taksācijas gadu, ja tas atkārtoti lietojamam iepakojumam piemēro depozīta sistēmu. </w:t>
            </w:r>
          </w:p>
          <w:p w14:paraId="542369D8" w14:textId="0BC24B43" w:rsidR="009D266D" w:rsidRDefault="00466AA2" w:rsidP="00466AA2">
            <w:pPr>
              <w:ind w:right="132" w:firstLine="284"/>
              <w:jc w:val="both"/>
            </w:pPr>
            <w:r>
              <w:t>Atbilstoši</w:t>
            </w:r>
            <w:r w:rsidR="009F4DB7">
              <w:t xml:space="preserve"> spēkā esošajam Iepakojuma likuma regulējumam šobrīd </w:t>
            </w:r>
            <w:r w:rsidR="009F4DB7" w:rsidRPr="00A45B3A">
              <w:rPr>
                <w:szCs w:val="28"/>
              </w:rPr>
              <w:t xml:space="preserve">iepakotāji var piemērot depozīta sistēmu, kas ir brīvprātīga, </w:t>
            </w:r>
            <w:r w:rsidR="009F4DB7">
              <w:rPr>
                <w:szCs w:val="28"/>
              </w:rPr>
              <w:t xml:space="preserve">tikai </w:t>
            </w:r>
            <w:r w:rsidR="009F4DB7" w:rsidRPr="00A45B3A">
              <w:rPr>
                <w:szCs w:val="28"/>
              </w:rPr>
              <w:t>atkārtoti lietojamam dzērienu iepakojumam</w:t>
            </w:r>
            <w:r w:rsidR="009F4DB7">
              <w:rPr>
                <w:szCs w:val="28"/>
              </w:rPr>
              <w:t>, neparedzot to piemērot</w:t>
            </w:r>
            <w:r w:rsidR="009F4DB7" w:rsidRPr="00FA0B4C">
              <w:t xml:space="preserve"> vienreiz lietojamam dzērienu iepakojumam</w:t>
            </w:r>
            <w:r w:rsidR="009F4DB7" w:rsidRPr="00A45B3A">
              <w:rPr>
                <w:szCs w:val="28"/>
              </w:rPr>
              <w:t>.</w:t>
            </w:r>
            <w:r w:rsidR="009F4DB7">
              <w:rPr>
                <w:szCs w:val="28"/>
              </w:rPr>
              <w:t xml:space="preserve"> </w:t>
            </w:r>
            <w:proofErr w:type="gramStart"/>
            <w:r w:rsidR="009D266D">
              <w:t>2</w:t>
            </w:r>
            <w:r w:rsidR="00270D65">
              <w:t>019.gada</w:t>
            </w:r>
            <w:proofErr w:type="gramEnd"/>
            <w:r w:rsidR="00270D65">
              <w:t xml:space="preserve"> 24.oktobrī Saeima pieņē</w:t>
            </w:r>
            <w:r w:rsidR="009D266D">
              <w:t>m</w:t>
            </w:r>
            <w:r w:rsidR="00270D65">
              <w:t>a</w:t>
            </w:r>
            <w:r w:rsidR="009D266D">
              <w:t xml:space="preserve"> likumu “Grozījumi Iepakojuma likumā”, ar kuru Latvijā no 2022.gada 1.februāra tiek ieviesta obligāta vienota depozīta sistēma vienreiz lietojamam un atkārtoti lietojamam dzērienu iepakojumam. </w:t>
            </w:r>
            <w:r w:rsidR="009F4DB7">
              <w:t>Līdz ar to ir nepieciešams veikt grozījumus PVN likum</w:t>
            </w:r>
            <w:r w:rsidR="00F83072">
              <w:t>ā atbilstoši Iepakojuma likumā veiktajiem grozījumi</w:t>
            </w:r>
            <w:r w:rsidR="00270D65">
              <w:t>em un lietotajai terminoloģijai</w:t>
            </w:r>
            <w:r w:rsidR="00F83072">
              <w:t xml:space="preserve">.  </w:t>
            </w:r>
          </w:p>
          <w:p w14:paraId="708A7C60" w14:textId="23295A72" w:rsidR="00D40269" w:rsidRDefault="00D40269" w:rsidP="00466AA2">
            <w:pPr>
              <w:ind w:right="132" w:firstLine="284"/>
              <w:jc w:val="both"/>
            </w:pPr>
            <w:r>
              <w:t xml:space="preserve">Respektīvi, saskaņā ar normatīvajiem aktiem iepakojuma jomā noteiktā depozīta maksa netiks iekļauta pārdodamās preces ar PVN apliekamajā vērtībā. Tomēr depozīta </w:t>
            </w:r>
            <w:r w:rsidR="005F756D">
              <w:t>iepakotājam</w:t>
            </w:r>
            <w:r>
              <w:t xml:space="preserve"> ir pienākums iesniegt deklarāciju par taksācijas gadu, kurā jākoriģē piegādātās preces ar PVN apliekamo vērtību par iepriekšējā gadā nesaņemtā depozīta iepakojuma vērtību, kā rezultātā jāiemaksā valsts budžetā aprēķinātā PVN summa.</w:t>
            </w:r>
            <w:r w:rsidR="005F756D">
              <w:t xml:space="preserve"> </w:t>
            </w:r>
            <w:r w:rsidR="005F756D" w:rsidRPr="005F756D">
              <w:t>A</w:t>
            </w:r>
            <w:r w:rsidR="005F756D" w:rsidRPr="00267F31">
              <w:t>r PVN apliekam</w:t>
            </w:r>
            <w:r w:rsidR="00466AA2">
              <w:t>ā vērtība</w:t>
            </w:r>
            <w:r w:rsidR="005F756D" w:rsidRPr="00267F31">
              <w:t xml:space="preserve"> ir jākoriģē par summu, kas ir vienāda ar atpakaļ nesaņemtā depozīta iepakojuma depozīta maksu, kurā ir jau iekļauts PVN.</w:t>
            </w:r>
            <w:r w:rsidR="003A3C53">
              <w:t xml:space="preserve"> </w:t>
            </w:r>
          </w:p>
          <w:p w14:paraId="5ECDC666" w14:textId="2DC1DEA7" w:rsidR="003D5965" w:rsidRPr="00E232D6" w:rsidRDefault="008B0628" w:rsidP="00466AA2">
            <w:pPr>
              <w:ind w:right="132" w:firstLine="284"/>
              <w:jc w:val="both"/>
            </w:pPr>
            <w:r>
              <w:t>Plānots, ka š</w:t>
            </w:r>
            <w:r w:rsidR="003D5965">
              <w:t xml:space="preserve">is </w:t>
            </w:r>
            <w:r w:rsidR="00A14CD9">
              <w:t xml:space="preserve">PVN jomas </w:t>
            </w:r>
            <w:r w:rsidR="003D5965">
              <w:t xml:space="preserve">regulējums stāsies spēkā vienlaicīgi ar </w:t>
            </w:r>
            <w:r>
              <w:t xml:space="preserve">minētās </w:t>
            </w:r>
            <w:r w:rsidR="003D5965">
              <w:t xml:space="preserve">depozīta sistēmas ieviešanu, </w:t>
            </w:r>
            <w:r w:rsidR="00417E53">
              <w:t>t.i.</w:t>
            </w:r>
            <w:r w:rsidR="003D5965">
              <w:t xml:space="preserve">, </w:t>
            </w:r>
            <w:proofErr w:type="gramStart"/>
            <w:r w:rsidR="003D5965">
              <w:t>2022.gada</w:t>
            </w:r>
            <w:proofErr w:type="gramEnd"/>
            <w:r w:rsidR="003D5965">
              <w:t xml:space="preserve"> 1.februārī</w:t>
            </w:r>
            <w:r w:rsidR="00ED7D1E">
              <w:t>, tādējādi ar likumprojektu ir piedāvāts attiecīgi papildināt likuma pārejas noteikumus</w:t>
            </w:r>
            <w:r w:rsidR="003D5965">
              <w:t>.</w:t>
            </w:r>
          </w:p>
          <w:p w14:paraId="18FE8961" w14:textId="22421940" w:rsidR="009D266D" w:rsidRDefault="009D266D" w:rsidP="00270D65">
            <w:pPr>
              <w:jc w:val="both"/>
            </w:pPr>
          </w:p>
          <w:p w14:paraId="12C559C1" w14:textId="53185450" w:rsidR="00BA654C" w:rsidRDefault="00BA654C" w:rsidP="00EC02EC">
            <w:pPr>
              <w:pStyle w:val="ListParagraph"/>
              <w:numPr>
                <w:ilvl w:val="0"/>
                <w:numId w:val="24"/>
              </w:numPr>
              <w:jc w:val="both"/>
              <w:rPr>
                <w:b/>
                <w:i/>
              </w:rPr>
            </w:pPr>
            <w:r w:rsidRPr="00BA654C">
              <w:rPr>
                <w:b/>
                <w:i/>
              </w:rPr>
              <w:t>Paziņojumu</w:t>
            </w:r>
            <w:r w:rsidR="00EC02EC">
              <w:rPr>
                <w:b/>
                <w:i/>
              </w:rPr>
              <w:t xml:space="preserve"> par PVN samaksu</w:t>
            </w:r>
            <w:r w:rsidRPr="00BA654C">
              <w:rPr>
                <w:b/>
                <w:i/>
              </w:rPr>
              <w:t xml:space="preserve"> iesniegšana</w:t>
            </w:r>
          </w:p>
          <w:p w14:paraId="2B1DA91E" w14:textId="1C10192A" w:rsidR="00840BFE" w:rsidRPr="00840BFE" w:rsidRDefault="00840BFE" w:rsidP="00466AA2">
            <w:pPr>
              <w:ind w:right="132" w:firstLine="280"/>
              <w:jc w:val="both"/>
            </w:pPr>
            <w:r>
              <w:rPr>
                <w:iCs/>
                <w:lang w:eastAsia="en-US"/>
              </w:rPr>
              <w:t xml:space="preserve">Regulējuma mērķis ir mainīt </w:t>
            </w:r>
            <w:r w:rsidRPr="00840BFE">
              <w:rPr>
                <w:iCs/>
                <w:lang w:eastAsia="en-US"/>
              </w:rPr>
              <w:t>paziņojum</w:t>
            </w:r>
            <w:r>
              <w:rPr>
                <w:iCs/>
                <w:lang w:eastAsia="en-US"/>
              </w:rPr>
              <w:t>a</w:t>
            </w:r>
            <w:r w:rsidRPr="00840BFE">
              <w:rPr>
                <w:iCs/>
                <w:lang w:eastAsia="en-US"/>
              </w:rPr>
              <w:t xml:space="preserve"> par PVN samaksu iesniegšanas kārtību</w:t>
            </w:r>
            <w:r>
              <w:rPr>
                <w:iCs/>
                <w:lang w:eastAsia="en-US"/>
              </w:rPr>
              <w:t xml:space="preserve">, lai tā atbilstu </w:t>
            </w:r>
            <w:r w:rsidRPr="00840BFE">
              <w:rPr>
                <w:iCs/>
                <w:lang w:eastAsia="en-US"/>
              </w:rPr>
              <w:t>vienotā nodokļu kont</w:t>
            </w:r>
            <w:r>
              <w:rPr>
                <w:iCs/>
                <w:lang w:eastAsia="en-US"/>
              </w:rPr>
              <w:t>a koncepcijai</w:t>
            </w:r>
            <w:r w:rsidR="008D089A">
              <w:rPr>
                <w:iCs/>
                <w:lang w:eastAsia="en-US"/>
              </w:rPr>
              <w:t>.</w:t>
            </w:r>
          </w:p>
          <w:p w14:paraId="0288AF40" w14:textId="560B7E09" w:rsidR="00BA654C" w:rsidRPr="00C025C1" w:rsidRDefault="00BA654C" w:rsidP="00466AA2">
            <w:pPr>
              <w:ind w:right="132" w:firstLine="341"/>
              <w:jc w:val="both"/>
            </w:pPr>
            <w:r>
              <w:t xml:space="preserve">Ar </w:t>
            </w:r>
            <w:proofErr w:type="gramStart"/>
            <w:r>
              <w:t>2021.gada</w:t>
            </w:r>
            <w:proofErr w:type="gramEnd"/>
            <w:r>
              <w:t xml:space="preserve"> 1.janvāri</w:t>
            </w:r>
            <w:r w:rsidRPr="006B5174">
              <w:t xml:space="preserve">, </w:t>
            </w:r>
            <w:r>
              <w:t xml:space="preserve">kā to paredz </w:t>
            </w:r>
            <w:r w:rsidRPr="006B5174">
              <w:t>Saeimā 2017.gada 23.novembrī pieņemt</w:t>
            </w:r>
            <w:r>
              <w:t>ai</w:t>
            </w:r>
            <w:r w:rsidRPr="006B5174">
              <w:t>s likums “Grozījumi likumā “Par nodokļiem un nodevām””, VID administrēt</w:t>
            </w:r>
            <w:r>
              <w:t>o</w:t>
            </w:r>
            <w:r w:rsidRPr="006B5174">
              <w:t xml:space="preserve"> valsts budžeta maksājum</w:t>
            </w:r>
            <w:r>
              <w:t>u veikšanai</w:t>
            </w:r>
            <w:r w:rsidRPr="006B5174">
              <w:t xml:space="preserve"> tiek ie</w:t>
            </w:r>
            <w:r>
              <w:t xml:space="preserve">viests vienotais nodokļu konts. </w:t>
            </w:r>
          </w:p>
          <w:p w14:paraId="2DAE2A51" w14:textId="198F8129" w:rsidR="00C025C1" w:rsidRPr="00C025C1" w:rsidRDefault="00C025C1" w:rsidP="00466AA2">
            <w:pPr>
              <w:pStyle w:val="NoSpacing"/>
              <w:ind w:right="132" w:firstLine="341"/>
              <w:jc w:val="both"/>
              <w:rPr>
                <w:rFonts w:ascii="Times New Roman" w:hAnsi="Times New Roman"/>
                <w:sz w:val="24"/>
                <w:szCs w:val="24"/>
                <w:lang w:val="lv-LV"/>
              </w:rPr>
            </w:pPr>
            <w:r w:rsidRPr="00C025C1">
              <w:rPr>
                <w:rFonts w:ascii="Times New Roman" w:hAnsi="Times New Roman"/>
                <w:sz w:val="24"/>
                <w:szCs w:val="24"/>
                <w:lang w:val="lv-LV"/>
              </w:rPr>
              <w:t xml:space="preserve">Ar Saeimā </w:t>
            </w:r>
            <w:proofErr w:type="gramStart"/>
            <w:r w:rsidRPr="00C025C1">
              <w:rPr>
                <w:rFonts w:ascii="Times New Roman" w:hAnsi="Times New Roman"/>
                <w:sz w:val="24"/>
                <w:szCs w:val="24"/>
                <w:lang w:val="lv-LV"/>
              </w:rPr>
              <w:t>2019.gada</w:t>
            </w:r>
            <w:proofErr w:type="gramEnd"/>
            <w:r w:rsidRPr="00C025C1">
              <w:rPr>
                <w:rFonts w:ascii="Times New Roman" w:hAnsi="Times New Roman"/>
                <w:sz w:val="24"/>
                <w:szCs w:val="24"/>
                <w:lang w:val="lv-LV"/>
              </w:rPr>
              <w:t xml:space="preserve"> 23.maijā pieņemtajiem grozījumiem </w:t>
            </w:r>
            <w:r w:rsidR="00F21DFF">
              <w:rPr>
                <w:rFonts w:ascii="Times New Roman" w:hAnsi="Times New Roman"/>
                <w:sz w:val="24"/>
                <w:szCs w:val="24"/>
                <w:lang w:val="lv-LV"/>
              </w:rPr>
              <w:t>PVN</w:t>
            </w:r>
            <w:r w:rsidRPr="00C025C1">
              <w:rPr>
                <w:rFonts w:ascii="Times New Roman" w:hAnsi="Times New Roman"/>
                <w:sz w:val="24"/>
                <w:szCs w:val="24"/>
                <w:lang w:val="lv-LV"/>
              </w:rPr>
              <w:t xml:space="preserve"> likumā, kas stāsies spēkā 2021.gada 1.janvārī, tiek noteikts, ka PVN vienotajā nodokļu kontā ir iemaksājams 23 dienu laikā pēc attiecīgā taksācijas perioda </w:t>
            </w:r>
            <w:r w:rsidRPr="00C025C1">
              <w:rPr>
                <w:rFonts w:ascii="Times New Roman" w:hAnsi="Times New Roman"/>
                <w:sz w:val="24"/>
                <w:szCs w:val="24"/>
                <w:lang w:val="lv-LV"/>
              </w:rPr>
              <w:lastRenderedPageBreak/>
              <w:t xml:space="preserve">beigām. </w:t>
            </w:r>
          </w:p>
          <w:p w14:paraId="7480A4CA" w14:textId="77777777" w:rsidR="00EA694A" w:rsidRDefault="0055011A" w:rsidP="00466AA2">
            <w:pPr>
              <w:pStyle w:val="NoSpacing"/>
              <w:ind w:right="132" w:firstLine="341"/>
              <w:jc w:val="both"/>
              <w:rPr>
                <w:rFonts w:ascii="Times New Roman" w:hAnsi="Times New Roman"/>
                <w:sz w:val="24"/>
                <w:szCs w:val="24"/>
                <w:lang w:val="lv-LV"/>
              </w:rPr>
            </w:pPr>
            <w:r>
              <w:rPr>
                <w:rFonts w:ascii="Times New Roman" w:hAnsi="Times New Roman"/>
                <w:sz w:val="24"/>
                <w:szCs w:val="24"/>
                <w:lang w:val="lv-LV"/>
              </w:rPr>
              <w:t xml:space="preserve">Bez PVN deklarācijas PVN likumā vēl ir noteikts tāds pārskata veids kā paziņojums par </w:t>
            </w:r>
            <w:r w:rsidR="00EC02EC">
              <w:rPr>
                <w:rFonts w:ascii="Times New Roman" w:hAnsi="Times New Roman"/>
                <w:sz w:val="24"/>
                <w:szCs w:val="24"/>
                <w:lang w:val="lv-LV"/>
              </w:rPr>
              <w:t>PVN</w:t>
            </w:r>
            <w:r>
              <w:rPr>
                <w:rFonts w:ascii="Times New Roman" w:hAnsi="Times New Roman"/>
                <w:sz w:val="24"/>
                <w:szCs w:val="24"/>
                <w:lang w:val="lv-LV"/>
              </w:rPr>
              <w:t xml:space="preserve"> samaksu. </w:t>
            </w:r>
            <w:r w:rsidR="006A5755">
              <w:rPr>
                <w:rFonts w:ascii="Times New Roman" w:hAnsi="Times New Roman"/>
                <w:sz w:val="24"/>
                <w:szCs w:val="24"/>
                <w:lang w:val="lv-LV"/>
              </w:rPr>
              <w:t xml:space="preserve">Ar šo paziņojumu personas informē VID par PVN samaksu dažādos gadījumos, piemēram, veicot priekšnodokļa korekciju gadījumā, kad PVN maksātājs ir izslēgts no VID PVN </w:t>
            </w:r>
            <w:r w:rsidR="006A5755" w:rsidRPr="006A5755">
              <w:rPr>
                <w:rFonts w:ascii="Times New Roman" w:hAnsi="Times New Roman"/>
                <w:sz w:val="24"/>
                <w:szCs w:val="24"/>
                <w:lang w:val="lv-LV"/>
              </w:rPr>
              <w:t xml:space="preserve">maksātāju reģistra, </w:t>
            </w:r>
            <w:r w:rsidR="006A5755" w:rsidRPr="006A5755">
              <w:rPr>
                <w:rFonts w:ascii="Times New Roman" w:eastAsia="Times New Roman" w:hAnsi="Times New Roman"/>
                <w:sz w:val="24"/>
                <w:szCs w:val="24"/>
                <w:lang w:val="lv-LV" w:eastAsia="lv-LV"/>
              </w:rPr>
              <w:t>par jauna transportlīdzekļa iegādi no citas dalībvalsts jebkuras personas, par zaudētajiem parādiem u.c.</w:t>
            </w:r>
            <w:r w:rsidR="006A5755" w:rsidRPr="006A5755">
              <w:rPr>
                <w:rFonts w:ascii="Times New Roman" w:hAnsi="Times New Roman"/>
                <w:sz w:val="24"/>
                <w:szCs w:val="24"/>
                <w:lang w:val="lv-LV"/>
              </w:rPr>
              <w:t xml:space="preserve"> </w:t>
            </w:r>
          </w:p>
          <w:p w14:paraId="45BE786C" w14:textId="3048D0D7" w:rsidR="002C79BB" w:rsidRPr="006A5755" w:rsidRDefault="006A5755" w:rsidP="00466AA2">
            <w:pPr>
              <w:pStyle w:val="NoSpacing"/>
              <w:ind w:right="132" w:firstLine="341"/>
              <w:jc w:val="both"/>
              <w:rPr>
                <w:rFonts w:ascii="Times New Roman" w:hAnsi="Times New Roman"/>
                <w:sz w:val="24"/>
                <w:szCs w:val="24"/>
                <w:lang w:val="lv-LV"/>
              </w:rPr>
            </w:pPr>
            <w:r w:rsidRPr="006A5755">
              <w:rPr>
                <w:rFonts w:ascii="Times New Roman" w:hAnsi="Times New Roman"/>
                <w:sz w:val="24"/>
                <w:szCs w:val="24"/>
                <w:lang w:val="lv-LV"/>
              </w:rPr>
              <w:t>Atbilstoši PVN likuma regulējumam</w:t>
            </w:r>
            <w:r w:rsidR="0055011A" w:rsidRPr="006A5755">
              <w:rPr>
                <w:rFonts w:ascii="Times New Roman" w:hAnsi="Times New Roman"/>
                <w:sz w:val="24"/>
                <w:szCs w:val="24"/>
                <w:lang w:val="lv-LV"/>
              </w:rPr>
              <w:t xml:space="preserve"> </w:t>
            </w:r>
            <w:r w:rsidRPr="006A5755">
              <w:rPr>
                <w:rFonts w:ascii="Times New Roman" w:hAnsi="Times New Roman"/>
                <w:sz w:val="24"/>
                <w:szCs w:val="24"/>
                <w:lang w:val="lv-LV"/>
              </w:rPr>
              <w:t>gadījumos, kad personai ir pienākums iesniegt VID paziņojumu par PVN samaksu, PVN valsts budžetā iemaksā līdz šā paziņojuma iesniegšanas brīdim VID, bet ne vēlāk kā līdz nākamā mēneša 20.datumam, kas seko pēc mēneša, kurā ir noticis darījums</w:t>
            </w:r>
            <w:r w:rsidR="00E20A73">
              <w:rPr>
                <w:rFonts w:ascii="Times New Roman" w:hAnsi="Times New Roman"/>
                <w:sz w:val="24"/>
                <w:szCs w:val="24"/>
                <w:lang w:val="lv-LV"/>
              </w:rPr>
              <w:t xml:space="preserve"> (izņemot atsevišķus darījumus)</w:t>
            </w:r>
            <w:r w:rsidRPr="006A5755">
              <w:rPr>
                <w:rFonts w:ascii="Times New Roman" w:hAnsi="Times New Roman"/>
                <w:sz w:val="24"/>
                <w:szCs w:val="24"/>
                <w:lang w:val="lv-LV"/>
              </w:rPr>
              <w:t>.</w:t>
            </w:r>
            <w:r>
              <w:rPr>
                <w:rFonts w:ascii="Times New Roman" w:hAnsi="Times New Roman"/>
                <w:sz w:val="24"/>
                <w:szCs w:val="24"/>
                <w:lang w:val="lv-LV"/>
              </w:rPr>
              <w:t xml:space="preserve"> Tādā veidā paziņojums par PVN samaksu ir iesniedzams pēc PVN samaksas veikšanas par attiecīgo darījumu un uzskatāms par informatīvo deklar</w:t>
            </w:r>
            <w:r w:rsidR="00E20A73">
              <w:rPr>
                <w:rFonts w:ascii="Times New Roman" w:hAnsi="Times New Roman"/>
                <w:sz w:val="24"/>
                <w:szCs w:val="24"/>
                <w:lang w:val="lv-LV"/>
              </w:rPr>
              <w:t xml:space="preserve">āciju, ar ko persona informē VID par PVN samaksu. </w:t>
            </w:r>
          </w:p>
          <w:p w14:paraId="467C1767" w14:textId="558766AA" w:rsidR="002C79BB" w:rsidRPr="00EE4E35" w:rsidRDefault="002C79BB" w:rsidP="00466AA2">
            <w:pPr>
              <w:pStyle w:val="NoSpacing"/>
              <w:ind w:right="132" w:firstLine="341"/>
              <w:jc w:val="both"/>
              <w:rPr>
                <w:rFonts w:ascii="Times New Roman" w:hAnsi="Times New Roman"/>
                <w:sz w:val="24"/>
                <w:szCs w:val="24"/>
                <w:lang w:val="lv-LV"/>
              </w:rPr>
            </w:pPr>
            <w:r w:rsidRPr="002C79BB">
              <w:rPr>
                <w:rFonts w:ascii="Times New Roman" w:hAnsi="Times New Roman"/>
                <w:sz w:val="24"/>
                <w:szCs w:val="24"/>
                <w:lang w:val="lv-LV"/>
              </w:rPr>
              <w:t xml:space="preserve">Atbilstoši Ministru kabineta </w:t>
            </w:r>
            <w:proofErr w:type="gramStart"/>
            <w:r w:rsidRPr="002C79BB">
              <w:rPr>
                <w:rFonts w:ascii="Times New Roman" w:hAnsi="Times New Roman"/>
                <w:sz w:val="24"/>
                <w:szCs w:val="24"/>
                <w:lang w:val="lv-LV"/>
              </w:rPr>
              <w:t>2017.gada</w:t>
            </w:r>
            <w:proofErr w:type="gramEnd"/>
            <w:r w:rsidRPr="002C79BB">
              <w:rPr>
                <w:rFonts w:ascii="Times New Roman" w:hAnsi="Times New Roman"/>
                <w:sz w:val="24"/>
                <w:szCs w:val="24"/>
                <w:lang w:val="lv-LV"/>
              </w:rPr>
              <w:t xml:space="preserve"> 26.septembra sēdes protokola Nr.48 44.§ 3.2.punktam regulāri iesniedzamās (t.i., reizi mēnesī, reizi ceturksnī un reizi pusgadā iesniedzamās) nodokļu deklarācijas un numerācijas lietošanas tiesību ikgadējās valsts nodevas deklarācija nodokļu administrācijai iesniedzamas pirms nodokļu un valsts nodevas par numerācijas lietošanas tiesībām maksāšanas gala termiņa, nodokļu deklarācijas un numerācijas lietošanas tiesību ikgadējās valsts nodevas deklar</w:t>
            </w:r>
            <w:r w:rsidRPr="00EE4E35">
              <w:rPr>
                <w:rFonts w:ascii="Times New Roman" w:hAnsi="Times New Roman"/>
                <w:sz w:val="24"/>
                <w:szCs w:val="24"/>
                <w:lang w:val="lv-LV"/>
              </w:rPr>
              <w:t>ācijas iesniegšanas termiņu nosakot ne mazāk kā trīs dienas pirms vienotā nodokļu un numerācijas lietošanas tiesību ikgadējās valsts nodevas maksāšanas gala termiņa iestāšanās.</w:t>
            </w:r>
            <w:r w:rsidR="00EE4E35">
              <w:rPr>
                <w:rFonts w:ascii="Times New Roman" w:hAnsi="Times New Roman"/>
                <w:sz w:val="24"/>
                <w:szCs w:val="24"/>
                <w:lang w:val="lv-LV"/>
              </w:rPr>
              <w:t xml:space="preserve"> Līdz ar to</w:t>
            </w:r>
            <w:r w:rsidR="00EE4E35" w:rsidRPr="00EE4E35">
              <w:rPr>
                <w:rFonts w:ascii="Times New Roman" w:hAnsi="Times New Roman"/>
                <w:sz w:val="24"/>
                <w:szCs w:val="24"/>
                <w:lang w:val="lv-LV"/>
              </w:rPr>
              <w:t xml:space="preserve">, lai nodrošinātu, ka vienotajā nodokļu kontā saņemto maksājumu ir iespējams attiecināt pret VID administrēto nodokļu maksājumu saistībām, normatīvajos aktos ir jānosaka, ka nodokļu deklarācija ir iesniedzama pirms nodokļa maksāšanas termiņa, tādējādi vispirms tiktu uzskaitīta VID administrēto nodokļu maksājumu saistība un vienotajā nodokļu kontā saņemto maksājumu būs iespējams pret to attiecināt. </w:t>
            </w:r>
            <w:r w:rsidRPr="00EE4E35">
              <w:rPr>
                <w:rFonts w:ascii="Times New Roman" w:hAnsi="Times New Roman"/>
                <w:sz w:val="24"/>
                <w:szCs w:val="24"/>
                <w:lang w:val="lv-LV"/>
              </w:rPr>
              <w:t xml:space="preserve"> </w:t>
            </w:r>
          </w:p>
          <w:p w14:paraId="64DBE30C" w14:textId="1747BF50" w:rsidR="009648C3" w:rsidRDefault="009648C3" w:rsidP="00466AA2">
            <w:pPr>
              <w:ind w:right="132" w:firstLine="421"/>
              <w:jc w:val="both"/>
            </w:pPr>
            <w:r w:rsidRPr="00EE4E35">
              <w:t>Saglabājot esošo regulējumu, VID jaunajā Maksājumu administrēšanas informācijas sistēmā (turpmāk – MAIS) veidosies situācija, ka persona samaksās PVN vienotajā</w:t>
            </w:r>
            <w:r w:rsidR="00466AA2">
              <w:t xml:space="preserve"> nodokļu</w:t>
            </w:r>
            <w:r w:rsidRPr="00EE4E35">
              <w:t xml:space="preserve"> kontā, bet paziņojumu</w:t>
            </w:r>
            <w:r w:rsidR="00EC02EC">
              <w:t xml:space="preserve"> par PVN samaksu</w:t>
            </w:r>
            <w:r w:rsidRPr="00EE4E35">
              <w:t xml:space="preserve"> iesniegs vēlāk</w:t>
            </w:r>
            <w:r w:rsidR="00641FC2">
              <w:t>,</w:t>
            </w:r>
            <w:r w:rsidRPr="00EE4E35">
              <w:t xml:space="preserve"> </w:t>
            </w:r>
            <w:r w:rsidR="00641FC2">
              <w:t>l</w:t>
            </w:r>
            <w:r w:rsidRPr="00EE4E35">
              <w:t xml:space="preserve">īdz ar to, saņemot maksājumu vienotajā </w:t>
            </w:r>
            <w:r w:rsidR="00EC02EC">
              <w:t xml:space="preserve">nodokļu </w:t>
            </w:r>
            <w:r w:rsidRPr="00EE4E35">
              <w:t>kontā, tam nebūs identificējama saistība ar vēlāk iesniegto paziņojumu</w:t>
            </w:r>
            <w:r w:rsidR="00EE4E35" w:rsidRPr="00EE4E35">
              <w:t xml:space="preserve"> par PVN samaksu. </w:t>
            </w:r>
          </w:p>
          <w:p w14:paraId="15FA1DFE" w14:textId="3F98129B" w:rsidR="00EE4E35" w:rsidRPr="007921A9" w:rsidRDefault="00EE4E35" w:rsidP="00466AA2">
            <w:pPr>
              <w:ind w:right="132" w:firstLine="280"/>
              <w:jc w:val="both"/>
            </w:pPr>
            <w:r w:rsidRPr="007921A9">
              <w:t>Šādas šobrīd PVN likumā noteiktās kārtības saglabāšana MAIS var radīt problēmas, jo var nebūt iespējams attiecināt jau iemaksāto summu vienotajā</w:t>
            </w:r>
            <w:r w:rsidR="00EC02EC">
              <w:t xml:space="preserve"> nodokļu</w:t>
            </w:r>
            <w:r w:rsidRPr="007921A9">
              <w:t xml:space="preserve"> kontā uz vēlāk iesniegto paziņojumu. Vienotajā </w:t>
            </w:r>
            <w:r w:rsidR="00EC02EC">
              <w:t xml:space="preserve">nodokļu </w:t>
            </w:r>
            <w:r w:rsidRPr="007921A9">
              <w:t xml:space="preserve">kontā iemaksātā summa par šo paziņojumu var tikt attiecināta uz citiem iepriekš iesniegtiem dokumentiem, kuriem maksājuma saistības datums ir vēlāks. Tāpat situācijā, kad PVN maksā pirms paziņojuma par </w:t>
            </w:r>
            <w:r w:rsidR="00EC02EC">
              <w:t>PVN</w:t>
            </w:r>
            <w:r w:rsidRPr="007921A9">
              <w:t xml:space="preserve"> samaksu iesniegšanas, vienotajā nodokļu kontā var veidoties </w:t>
            </w:r>
            <w:r w:rsidR="00D63DD3">
              <w:t xml:space="preserve">pārmaksātā </w:t>
            </w:r>
            <w:r w:rsidRPr="007921A9">
              <w:t xml:space="preserve">PVN </w:t>
            </w:r>
            <w:r w:rsidR="00D63DD3">
              <w:t>summa</w:t>
            </w:r>
            <w:r w:rsidR="00D63DD3" w:rsidRPr="007921A9">
              <w:t xml:space="preserve"> </w:t>
            </w:r>
            <w:r w:rsidRPr="007921A9">
              <w:t xml:space="preserve">un tā var tikt novirzīta citu nodokļu maksājumu saistību segšanai, ne </w:t>
            </w:r>
            <w:r w:rsidR="00D63DD3">
              <w:t xml:space="preserve">PVN </w:t>
            </w:r>
            <w:r w:rsidRPr="007921A9">
              <w:t>maksājuma</w:t>
            </w:r>
            <w:r w:rsidR="00D63DD3">
              <w:t xml:space="preserve"> segšanai</w:t>
            </w:r>
            <w:r w:rsidRPr="007921A9">
              <w:t>, attiecībā</w:t>
            </w:r>
            <w:proofErr w:type="gramStart"/>
            <w:r w:rsidRPr="007921A9">
              <w:t xml:space="preserve"> uz kuru normatīvais akts paredz</w:t>
            </w:r>
            <w:proofErr w:type="gramEnd"/>
            <w:r w:rsidRPr="007921A9">
              <w:t xml:space="preserve"> PVN maksāt pirms paziņojuma par </w:t>
            </w:r>
            <w:r w:rsidR="00466AA2">
              <w:t>PVN</w:t>
            </w:r>
            <w:r w:rsidRPr="007921A9">
              <w:t xml:space="preserve"> samaksu iesniegšanas. No šādas kārtības saglabāšanas var rasties vairākas problēmas, t.sk. nepamatota nokavējuma naudas aprēķināšana. </w:t>
            </w:r>
          </w:p>
          <w:p w14:paraId="375D457B" w14:textId="65B9EEAC" w:rsidR="00EE4E35" w:rsidRDefault="00EE4E35" w:rsidP="00466AA2">
            <w:pPr>
              <w:ind w:right="132" w:firstLine="421"/>
              <w:jc w:val="both"/>
            </w:pPr>
            <w:r w:rsidRPr="007921A9">
              <w:t xml:space="preserve">Ņemot vērā minēto, lai nodrošinātu MAIS sekmīgu darbību un novērstu iespējamās problēmsituācijas, kas </w:t>
            </w:r>
            <w:proofErr w:type="gramStart"/>
            <w:r w:rsidRPr="007921A9">
              <w:t>vienlaicīgi radītu</w:t>
            </w:r>
            <w:proofErr w:type="gramEnd"/>
            <w:r w:rsidRPr="007921A9">
              <w:rPr>
                <w:color w:val="44546A"/>
              </w:rPr>
              <w:t xml:space="preserve"> </w:t>
            </w:r>
            <w:r w:rsidRPr="007921A9">
              <w:t xml:space="preserve">administratīvo slogu, gan VID, gan nodokļu maksātājiem sakarā ar dažādiem principiem PVN maksāšanai valsts budžetā (t.i., vienotajā nodokļu kontā), un riskiem normu neievērošanā, ir nepieciešams veikt attiecīgus grozījumus PVN likumā, </w:t>
            </w:r>
            <w:r w:rsidRPr="007921A9">
              <w:lastRenderedPageBreak/>
              <w:t xml:space="preserve">nosakot, ka paziņojums par PVN samaksu ir iesniedzams pirms PVN samaksas veikšanas. </w:t>
            </w:r>
            <w:r w:rsidR="009E5B47">
              <w:t>Savukārt PVN samaksa valsts budžetā ir jāveic trīs darba dienu laikā pēc paziņojuma par PVN samaksu iesniegšanas.</w:t>
            </w:r>
          </w:p>
          <w:p w14:paraId="29062131" w14:textId="597692FC" w:rsidR="001D24A2" w:rsidRDefault="001D24A2" w:rsidP="00466AA2">
            <w:pPr>
              <w:ind w:right="132" w:firstLine="421"/>
              <w:jc w:val="both"/>
            </w:pPr>
            <w:r w:rsidRPr="001D24A2">
              <w:t xml:space="preserve">Līdz šim </w:t>
            </w:r>
            <w:r w:rsidR="00DC729C">
              <w:t>paziņojums</w:t>
            </w:r>
            <w:r w:rsidR="00DC729C" w:rsidRPr="001D24A2">
              <w:t xml:space="preserve"> </w:t>
            </w:r>
            <w:r w:rsidRPr="001D24A2">
              <w:t>par PVN samaksu ir uzskatīts par informatīvo deklarāciju likuma “Par nodokļiem un nodevām” izpratnē, jo tas attiecīgajiem nodokļu maksātājam neradīja PVN maksāšanas saistības, bet tikai sniedza informāciju VID par attiecīgajos gadījumos veikto PVN samaksu.</w:t>
            </w:r>
            <w:r>
              <w:t xml:space="preserve"> Savukārt ar šo likumprojektu tiek mainīta </w:t>
            </w:r>
            <w:r w:rsidR="00DC729C">
              <w:t>šī paziņojum</w:t>
            </w:r>
            <w:r w:rsidR="00F21DFF">
              <w:t>a</w:t>
            </w:r>
            <w:r>
              <w:t xml:space="preserve"> koncepcija pēc būtības, jo tas kļūst par nodokļa deklarāciju atbilstoši likuma “Par nodokļiem un nodevām” </w:t>
            </w:r>
            <w:proofErr w:type="gramStart"/>
            <w:r>
              <w:t>1.panta</w:t>
            </w:r>
            <w:proofErr w:type="gramEnd"/>
            <w:r>
              <w:t xml:space="preserve"> 19.punktam, kas paredz, ka nodokļa deklarācija </w:t>
            </w:r>
            <w:r w:rsidRPr="001D24A2">
              <w:t>ir nodokļu administrācijai iesniedzamā nodokļu maksātāja nodokļa deklarācija (arī tās pielikumi), pārskats, nodokļa aprēķins, ziņojums vai paziņojums, kurā norādāmi budžetā maksājamie nodokļi un no budžeta atmaksājamās nodokļu summas.</w:t>
            </w:r>
            <w:r w:rsidR="0078009F">
              <w:t xml:space="preserve"> Tādā veidā </w:t>
            </w:r>
            <w:r w:rsidR="002570A3">
              <w:t xml:space="preserve">paziņojums </w:t>
            </w:r>
            <w:r w:rsidR="00306063">
              <w:t xml:space="preserve">par PVN samaksu vairs netiks uzskatīts par iesniedzamo informāciju VID, bet gan par nodokļa deklarāciju ar tajā veikto </w:t>
            </w:r>
            <w:r w:rsidR="002B0E56">
              <w:t>PVN samaksas vai atmaksas aprēķinu.</w:t>
            </w:r>
          </w:p>
          <w:p w14:paraId="0F1776B5" w14:textId="19417E8C" w:rsidR="002B0E56" w:rsidRPr="00BB7C6E" w:rsidRDefault="002B0E56" w:rsidP="00466AA2">
            <w:pPr>
              <w:ind w:right="132" w:firstLine="421"/>
              <w:jc w:val="both"/>
            </w:pPr>
            <w:r>
              <w:t xml:space="preserve">Izņēmums no minētās koncepcijas ir gadījumos, kad zvērināts tiesu izpildītājs valsts budžetā iemaksā PVN no mantas pārdošanas tiesu izpildītāja rīkotajā izsolē un informē par to VID, izmantojot paziņojuma </w:t>
            </w:r>
            <w:r w:rsidR="00EC02EC">
              <w:t>par PVN samaksu formu, jo</w:t>
            </w:r>
            <w:r w:rsidR="00DC729C">
              <w:t>,</w:t>
            </w:r>
            <w:r w:rsidR="00EC02EC">
              <w:t xml:space="preserve"> </w:t>
            </w:r>
            <w:proofErr w:type="gramStart"/>
            <w:r w:rsidR="00EC02EC">
              <w:t>neskatoties uz to, ka</w:t>
            </w:r>
            <w:proofErr w:type="gramEnd"/>
            <w:r w:rsidR="00EC02EC">
              <w:t xml:space="preserve"> PVN iemaksu veic zvērināts tiesu izpildītājs, faktiskais PVN maksātājs ir komersants, kura manta tiek pārdota izsolē. </w:t>
            </w:r>
            <w:r>
              <w:t>Tādā veidā attiecībā uz zvērinātajiem tiesu izpildītājiem nemainās paziņojuma par PVN samaksu būtība un arī turpmāk tas uzskatāms par informatīvo deklarāciju, kas iesniedzama VID, lai i</w:t>
            </w:r>
            <w:r w:rsidR="00BB7C6E">
              <w:t xml:space="preserve">nformētu par veikto PVN </w:t>
            </w:r>
            <w:r w:rsidR="00BB7C6E" w:rsidRPr="00BB7C6E">
              <w:t>samaksu, bet mainās zvērinātajiem tiesu izpildītājiem noteiktais PVN samaksas termiņš, proti, PVN samaksa valsts budžetā jāveic trīs darba dienu laikā pēc paziņojuma par PVN samaksu iesniegšanas (līdz šim PVN samaksa bija jāveic vienlaicīgi ar paziņojuma par PVN samaksu iesniegšanu).</w:t>
            </w:r>
          </w:p>
          <w:p w14:paraId="017FFCC2" w14:textId="241BE710" w:rsidR="00BA654C" w:rsidRPr="00BB7C6E" w:rsidRDefault="00BA654C" w:rsidP="0078009F">
            <w:pPr>
              <w:jc w:val="both"/>
            </w:pPr>
          </w:p>
          <w:p w14:paraId="4BB06963" w14:textId="31E10CDC" w:rsidR="00C269F2" w:rsidRDefault="00E5608E" w:rsidP="00466AA2">
            <w:pPr>
              <w:pStyle w:val="ListParagraph"/>
              <w:numPr>
                <w:ilvl w:val="0"/>
                <w:numId w:val="24"/>
              </w:numPr>
              <w:tabs>
                <w:tab w:val="left" w:pos="341"/>
              </w:tabs>
              <w:ind w:left="0" w:right="132" w:firstLine="284"/>
              <w:jc w:val="both"/>
              <w:rPr>
                <w:b/>
                <w:i/>
              </w:rPr>
            </w:pPr>
            <w:r w:rsidRPr="00BA654C">
              <w:rPr>
                <w:b/>
                <w:i/>
              </w:rPr>
              <w:t xml:space="preserve">Apgrieztās jeb reversās PVN maksāšanas kārtības </w:t>
            </w:r>
            <w:r w:rsidR="00270D65" w:rsidRPr="00BA654C">
              <w:rPr>
                <w:b/>
                <w:i/>
              </w:rPr>
              <w:t>darījumos ar kokmateriāliem</w:t>
            </w:r>
            <w:r w:rsidRPr="00BA654C">
              <w:rPr>
                <w:b/>
                <w:i/>
              </w:rPr>
              <w:t xml:space="preserve"> precizēšana</w:t>
            </w:r>
          </w:p>
          <w:p w14:paraId="21B726B8" w14:textId="6D27E7A0" w:rsidR="00EC02EC" w:rsidRPr="00EC02EC" w:rsidRDefault="00D20AA4" w:rsidP="00466AA2">
            <w:pPr>
              <w:pStyle w:val="ListParagraph"/>
              <w:tabs>
                <w:tab w:val="left" w:pos="421"/>
              </w:tabs>
              <w:ind w:left="-4" w:right="132" w:firstLine="288"/>
              <w:jc w:val="both"/>
              <w:rPr>
                <w:b/>
                <w:i/>
              </w:rPr>
            </w:pPr>
            <w:r>
              <w:t>Grozījumu mērķis ir panākt vienotu regulējuma izpratni un tā interpretāciju, lai norma būtu skaidra un nepārprotama gan PVN maksātājiem, gan VID.</w:t>
            </w:r>
          </w:p>
          <w:p w14:paraId="3B601528" w14:textId="77777777" w:rsidR="00E5608E" w:rsidRDefault="00E5608E" w:rsidP="00466AA2">
            <w:pPr>
              <w:ind w:right="132" w:firstLine="284"/>
              <w:jc w:val="both"/>
            </w:pPr>
            <w:r>
              <w:t xml:space="preserve">Sākotnēji apgrieztā jeb reversā PVN maksāšanas kārtība bija attiecināta tikai uz kokmateriālu piegādēm. Tomēr, būtiski palielinoties krāpšanas apmēram, ar </w:t>
            </w:r>
            <w:proofErr w:type="gramStart"/>
            <w:r>
              <w:t>2001.gada</w:t>
            </w:r>
            <w:proofErr w:type="gramEnd"/>
            <w:r>
              <w:t xml:space="preserve"> 1.aprīli apgrieztā jeb reversā PVN maksāšanas kārtība tika ieviesta arī noteiktiem pakalpojumiem. Ar Ministru kabineta noteikumiem tika noteikti pakalpojumu veidi, kuri saistīti ar kokmateriāliem un kuriem piemērojama apgrieztā jeb reversā PVN maksāšanas kārtība:</w:t>
            </w:r>
          </w:p>
          <w:p w14:paraId="70186C1B" w14:textId="77777777" w:rsidR="00E5608E" w:rsidRDefault="00E5608E" w:rsidP="00466AA2">
            <w:pPr>
              <w:ind w:right="132" w:firstLine="284"/>
              <w:jc w:val="both"/>
            </w:pPr>
            <w:r>
              <w:t>1) ar kokmateriālu sagatavošanu saistītie pakalpojumi, to skaitā ciršanas tiesību piešķiršana, augoša koka un apaļkoka uzmērīšana, vērtēšana, nozāģēšana, atzarošana un krautņu veidošana;</w:t>
            </w:r>
          </w:p>
          <w:p w14:paraId="73F83A12" w14:textId="77777777" w:rsidR="00E5608E" w:rsidRDefault="00E5608E" w:rsidP="00466AA2">
            <w:pPr>
              <w:ind w:right="132" w:firstLine="284"/>
              <w:jc w:val="both"/>
            </w:pPr>
            <w:r>
              <w:t>2) kokmateriālu apstrādes un pārstrādes pakalpojumi, to skaitā zāģēšana, garināšana, mizošana, frēzēšana, ēvelēšana, virpošana, slīpēšana, žāvēšana, līmēšana, lakošana un šķeldošana;</w:t>
            </w:r>
          </w:p>
          <w:p w14:paraId="14D8C4E5" w14:textId="77777777" w:rsidR="00E5608E" w:rsidRDefault="00E5608E" w:rsidP="00466AA2">
            <w:pPr>
              <w:ind w:right="132" w:firstLine="284"/>
              <w:jc w:val="both"/>
            </w:pPr>
            <w:r>
              <w:t>3) kokmateriālu marķēšanas, brāķēšanas, šķirošanas, pakošanas, kā arī antiseptēšanas un cita veida ķīmiskās apstrādes pakalpojumi;</w:t>
            </w:r>
          </w:p>
          <w:p w14:paraId="5B063E83" w14:textId="77777777" w:rsidR="00E5608E" w:rsidRDefault="00E5608E" w:rsidP="00466AA2">
            <w:pPr>
              <w:ind w:right="132" w:firstLine="284"/>
              <w:jc w:val="both"/>
            </w:pPr>
            <w:r>
              <w:t>4) kokmateriālu transportēšanas, iekraušanas, izkraušanas, pārkraušanas un glabāšanas pakalpojumi.</w:t>
            </w:r>
          </w:p>
          <w:p w14:paraId="1998FFB5" w14:textId="77777777" w:rsidR="00E5608E" w:rsidRDefault="00E5608E" w:rsidP="00466AA2">
            <w:pPr>
              <w:ind w:right="132" w:firstLine="284"/>
              <w:jc w:val="both"/>
            </w:pPr>
            <w:r>
              <w:t xml:space="preserve">Tomēr laika gaitā krāpšanās kokrūpniecības nozarē pārcēlās uz tādiem darījumiem, kam netika piemērota apgrieztā jeb reversā PVN maksāšanas kārtība, piemēram, koksnes blakusproduktiem. Līdz ar to, aizsargājot valsts </w:t>
            </w:r>
            <w:r>
              <w:lastRenderedPageBreak/>
              <w:t>fiskālās intereses, apgrieztās jeb reversās PVN maksāšanas kārtības piemērošanas jomu nācās paplašināt, tādējādi samazinot krāpšanās iespējas šajā nozarē.</w:t>
            </w:r>
          </w:p>
          <w:p w14:paraId="1D968D9C" w14:textId="52B888E2" w:rsidR="00E5608E" w:rsidRDefault="00E5608E" w:rsidP="00466AA2">
            <w:pPr>
              <w:ind w:right="132" w:firstLine="284"/>
              <w:jc w:val="both"/>
            </w:pPr>
            <w:r>
              <w:t xml:space="preserve">Sākot ar </w:t>
            </w:r>
            <w:proofErr w:type="gramStart"/>
            <w:r>
              <w:t>2007.gada</w:t>
            </w:r>
            <w:proofErr w:type="gramEnd"/>
            <w:r>
              <w:t xml:space="preserve"> 1.janvāri, tika papildināts pakalpojumu uzskaitījums, kuri saistīti ar kokmateriāliem un kuriem piemērojama apgrieztā jeb reversā PVN maksāšanas kārtība, proti, ar kokmateriāl</w:t>
            </w:r>
            <w:r w:rsidR="00DC729C">
              <w:t>iem</w:t>
            </w:r>
            <w:r>
              <w:t xml:space="preserve"> saistītiem tirgus izpētes (mārketinga) un starpniecības pakalpojumiem.</w:t>
            </w:r>
          </w:p>
          <w:p w14:paraId="33C35EC2" w14:textId="62620FEA" w:rsidR="00E5608E" w:rsidRDefault="00E5608E" w:rsidP="00466AA2">
            <w:pPr>
              <w:ind w:right="132" w:firstLine="284"/>
              <w:jc w:val="both"/>
            </w:pPr>
            <w:r>
              <w:t xml:space="preserve">Ieviešot </w:t>
            </w:r>
            <w:proofErr w:type="gramStart"/>
            <w:r w:rsidR="00DC729C">
              <w:t>un</w:t>
            </w:r>
            <w:proofErr w:type="gramEnd"/>
            <w:r w:rsidR="00DC729C">
              <w:t xml:space="preserve"> pakāpeniski paplašinot </w:t>
            </w:r>
            <w:r>
              <w:t xml:space="preserve">apgriezto jeb reverso PVN maksāšanas kārtību </w:t>
            </w:r>
            <w:r w:rsidR="00DC729C">
              <w:t>šajā jomā</w:t>
            </w:r>
            <w:r>
              <w:t>, mērķis bija maksimāli aptvert visu primārās koksnes produktu klāstu</w:t>
            </w:r>
            <w:r w:rsidR="00DC729C">
              <w:t>, kā arī dažus pakalpojumu šajā jomā</w:t>
            </w:r>
            <w:r>
              <w:t>, novērst dažādas likuma normu interpretācijas, veicināt godīgu konkurenci un mazināt krāpnieciskās darbības PVN jomā, kā arī atvieglot šo normu piemērošanu un administrēšanu.</w:t>
            </w:r>
          </w:p>
          <w:p w14:paraId="6916FE15" w14:textId="134EC656" w:rsidR="00E5608E" w:rsidRDefault="00466AA2" w:rsidP="00466AA2">
            <w:pPr>
              <w:ind w:right="132" w:firstLine="284"/>
              <w:jc w:val="both"/>
            </w:pPr>
            <w:r>
              <w:t xml:space="preserve">Attiecībā </w:t>
            </w:r>
            <w:r w:rsidR="00E5608E">
              <w:t>uz kokmateriālu piegādēm un ar</w:t>
            </w:r>
            <w:r>
              <w:t xml:space="preserve"> </w:t>
            </w:r>
            <w:r w:rsidR="0085694F">
              <w:t xml:space="preserve">kokmateriāliem </w:t>
            </w:r>
            <w:r>
              <w:t xml:space="preserve">saistītiem pakalpojumiem </w:t>
            </w:r>
            <w:r w:rsidR="00E5608E">
              <w:t>Direktīvā 2006/112/EK konkrēta definējuma nav</w:t>
            </w:r>
            <w:r w:rsidR="00DC729C">
              <w:t xml:space="preserve"> un regulējums ieviests saskaņā ar Eiropas Komisijas īpašu Latvijai piešķirtu atkāpi</w:t>
            </w:r>
            <w:r w:rsidR="00E5608E">
              <w:t xml:space="preserve">, tādēļ uzskatāms, ka Direktīvas 2006/112/EK normas attiecībā uz kokmateriālu piegādi un ar </w:t>
            </w:r>
            <w:r w:rsidR="0085694F">
              <w:t xml:space="preserve">kokmateriāliem </w:t>
            </w:r>
            <w:r w:rsidR="00E5608E">
              <w:t xml:space="preserve">saistītiem pakalpojumiem ir atbilstoši pārņemtas </w:t>
            </w:r>
            <w:r w:rsidR="0086503D">
              <w:t>PVN</w:t>
            </w:r>
            <w:r w:rsidR="00E5608E">
              <w:t xml:space="preserve"> likuma </w:t>
            </w:r>
            <w:proofErr w:type="gramStart"/>
            <w:r w:rsidR="00E5608E">
              <w:t>141.pantā</w:t>
            </w:r>
            <w:proofErr w:type="gramEnd"/>
            <w:r w:rsidR="00E5608E">
              <w:t>.</w:t>
            </w:r>
          </w:p>
          <w:p w14:paraId="7D09A596" w14:textId="4C3227D5" w:rsidR="00EE7367" w:rsidRDefault="00E5608E" w:rsidP="0085694F">
            <w:pPr>
              <w:autoSpaceDE w:val="0"/>
              <w:autoSpaceDN w:val="0"/>
              <w:adjustRightInd w:val="0"/>
              <w:ind w:left="-4" w:right="132" w:firstLine="345"/>
              <w:jc w:val="both"/>
            </w:pPr>
            <w:r>
              <w:t xml:space="preserve">Lai panāktu vienotu regulējuma izpratni un </w:t>
            </w:r>
            <w:r w:rsidR="000A3FBD">
              <w:t xml:space="preserve">mazinātu </w:t>
            </w:r>
            <w:r>
              <w:t>tā interpretācij</w:t>
            </w:r>
            <w:r w:rsidR="000A3FBD">
              <w:t>as iespējas</w:t>
            </w:r>
            <w:r>
              <w:t xml:space="preserve">, kā arī, lai norma būtu skaidra un nepārprotama gan </w:t>
            </w:r>
            <w:r w:rsidR="00FA685E">
              <w:t>PVN</w:t>
            </w:r>
            <w:r>
              <w:t xml:space="preserve"> maksātājiem, gan nodokļu administrācijai, ir veikti </w:t>
            </w:r>
            <w:r w:rsidR="0085694F">
              <w:t xml:space="preserve">tehniska rakstura </w:t>
            </w:r>
            <w:r>
              <w:t xml:space="preserve">precizējumi </w:t>
            </w:r>
            <w:r w:rsidR="0086503D">
              <w:t>PVN</w:t>
            </w:r>
            <w:r>
              <w:t xml:space="preserve"> likuma </w:t>
            </w:r>
            <w:proofErr w:type="gramStart"/>
            <w:r>
              <w:t>141.panta</w:t>
            </w:r>
            <w:proofErr w:type="gramEnd"/>
            <w:r>
              <w:t xml:space="preserve"> </w:t>
            </w:r>
            <w:r w:rsidR="0085694F">
              <w:t xml:space="preserve">nosaukumā, tā </w:t>
            </w:r>
            <w:r>
              <w:t>otrajā</w:t>
            </w:r>
            <w:r w:rsidR="0085694F">
              <w:t>, septītajā, astotajā un devītajā</w:t>
            </w:r>
            <w:r>
              <w:t xml:space="preserve"> daļā. </w:t>
            </w:r>
            <w:r w:rsidR="0086503D">
              <w:t>Ir precizēts</w:t>
            </w:r>
            <w:r>
              <w:t xml:space="preserve">, ka </w:t>
            </w:r>
            <w:r w:rsidR="0086503D">
              <w:t>PVN</w:t>
            </w:r>
            <w:r>
              <w:t xml:space="preserve"> likuma </w:t>
            </w:r>
            <w:proofErr w:type="gramStart"/>
            <w:r>
              <w:t>141.panta</w:t>
            </w:r>
            <w:proofErr w:type="gramEnd"/>
            <w:r>
              <w:t xml:space="preserve"> otrā daļa ir piemērojama, ja iekšzemē tiek sniegti </w:t>
            </w:r>
            <w:r w:rsidR="00CD5093">
              <w:t xml:space="preserve">ar kokmateriāliem saistīti </w:t>
            </w:r>
            <w:r>
              <w:t xml:space="preserve">pakalpojumi, kuri ir minēti </w:t>
            </w:r>
            <w:r w:rsidR="0086503D">
              <w:t>PVN</w:t>
            </w:r>
            <w:r>
              <w:t xml:space="preserve"> likuma 141.panta ceturtajā daļā, </w:t>
            </w:r>
            <w:r w:rsidR="00CD5093">
              <w:t xml:space="preserve">proti, </w:t>
            </w:r>
            <w:r>
              <w:t xml:space="preserve">neatkarīgi no tā, vai minētie sniegtie pakalpojumi ir vai nav tieši saistīti ar </w:t>
            </w:r>
            <w:r w:rsidR="0086503D">
              <w:t>PVN</w:t>
            </w:r>
            <w:r>
              <w:t xml:space="preserve"> likuma 141.panta trešajā daļā minēto kokmateriālu piegādi.</w:t>
            </w:r>
            <w:r w:rsidR="00CD5093">
              <w:t xml:space="preserve"> </w:t>
            </w:r>
          </w:p>
          <w:p w14:paraId="1C43D515" w14:textId="14C29D90" w:rsidR="00EE7367" w:rsidRDefault="00EE7367" w:rsidP="00673C92">
            <w:pPr>
              <w:autoSpaceDE w:val="0"/>
              <w:autoSpaceDN w:val="0"/>
              <w:adjustRightInd w:val="0"/>
              <w:ind w:left="-4" w:right="132" w:firstLine="345"/>
              <w:jc w:val="both"/>
            </w:pPr>
            <w:r>
              <w:t>Lai PVN likumā neveidotos atšķirīgas redakcijas pēc būtības līdzīgiem regulējumiem saistībā ar</w:t>
            </w:r>
            <w:r w:rsidR="001C00E1">
              <w:t xml:space="preserve"> šo</w:t>
            </w:r>
            <w:r>
              <w:t xml:space="preserve"> īpašo nodokļa maksāšanas kārtību,</w:t>
            </w:r>
            <w:r w:rsidR="00673C92">
              <w:t xml:space="preserve"> </w:t>
            </w:r>
            <w:r>
              <w:t xml:space="preserve">ir veikti tehniska rakstura precizējumi </w:t>
            </w:r>
            <w:r w:rsidR="00673C92">
              <w:t xml:space="preserve">arī </w:t>
            </w:r>
            <w:r>
              <w:t xml:space="preserve">PVN likuma </w:t>
            </w:r>
            <w:proofErr w:type="gramStart"/>
            <w:r>
              <w:t>143.pant</w:t>
            </w:r>
            <w:r w:rsidR="00673C92">
              <w:t>ā</w:t>
            </w:r>
            <w:proofErr w:type="gramEnd"/>
            <w:r w:rsidR="00673C92">
              <w:t xml:space="preserve"> attiecībā uz</w:t>
            </w:r>
            <w:r w:rsidR="001C00E1">
              <w:t xml:space="preserve"> darījumiem ar</w:t>
            </w:r>
            <w:r w:rsidR="00673C92">
              <w:t xml:space="preserve"> metāllūžņiem</w:t>
            </w:r>
            <w:r w:rsidR="001C00E1">
              <w:t xml:space="preserve"> pēc līdzības ar grozījumiem, kas piedāvāti PVN likuma 141.pantā</w:t>
            </w:r>
            <w:r w:rsidR="00673C92">
              <w:t xml:space="preserve">. </w:t>
            </w:r>
            <w:r>
              <w:t xml:space="preserve"> </w:t>
            </w:r>
            <w:r w:rsidR="00673C92">
              <w:t xml:space="preserve">Līdz ar to ir veikti tehniska rakstura precizējumi </w:t>
            </w:r>
            <w:proofErr w:type="gramStart"/>
            <w:r w:rsidR="00673C92">
              <w:t>143.panta</w:t>
            </w:r>
            <w:proofErr w:type="gramEnd"/>
            <w:r w:rsidR="00673C92">
              <w:t xml:space="preserve"> nosaukumā, tā otrās daļas ievaddaļā, ceturtās daļas ievaddaļā, septītajā, astotajā un devītajā daļā.</w:t>
            </w:r>
          </w:p>
          <w:p w14:paraId="6C8EFBA1" w14:textId="454E8C3A" w:rsidR="0086503D" w:rsidRDefault="00CD5093" w:rsidP="0085694F">
            <w:pPr>
              <w:autoSpaceDE w:val="0"/>
              <w:autoSpaceDN w:val="0"/>
              <w:adjustRightInd w:val="0"/>
              <w:ind w:left="-4" w:right="132" w:firstLine="345"/>
              <w:jc w:val="both"/>
            </w:pPr>
            <w:r>
              <w:t xml:space="preserve">Tādējādi </w:t>
            </w:r>
            <w:r w:rsidR="003A7B04">
              <w:t xml:space="preserve">īpašās nodokļa maksāšanas kārtības </w:t>
            </w:r>
            <w:r>
              <w:t>regul</w:t>
            </w:r>
            <w:r w:rsidR="003A7B04">
              <w:t>ējumi kokmateriāliem un metāllūžņiem pēc</w:t>
            </w:r>
            <w:r>
              <w:t xml:space="preserve"> būtība</w:t>
            </w:r>
            <w:r w:rsidR="003A7B04">
              <w:t>s</w:t>
            </w:r>
            <w:r>
              <w:t xml:space="preserve"> </w:t>
            </w:r>
            <w:r w:rsidR="003A7B04">
              <w:t>ne</w:t>
            </w:r>
            <w:r>
              <w:t xml:space="preserve">tiek </w:t>
            </w:r>
            <w:r w:rsidR="003A7B04">
              <w:t xml:space="preserve">mainīti, </w:t>
            </w:r>
            <w:r>
              <w:t xml:space="preserve">bet </w:t>
            </w:r>
            <w:r w:rsidR="003A7B04">
              <w:t xml:space="preserve">veikto </w:t>
            </w:r>
            <w:r>
              <w:t xml:space="preserve">tehnisko precizējumu rezultātā </w:t>
            </w:r>
            <w:r w:rsidR="003A7B04">
              <w:t>tie</w:t>
            </w:r>
            <w:r>
              <w:t xml:space="preserve"> būs skaidr</w:t>
            </w:r>
            <w:r w:rsidR="003A7B04">
              <w:t>āki</w:t>
            </w:r>
            <w:r>
              <w:t xml:space="preserve"> un mazāk interpret</w:t>
            </w:r>
            <w:r w:rsidR="003A7B04">
              <w:t>ējami</w:t>
            </w:r>
            <w:r>
              <w:t>.</w:t>
            </w:r>
          </w:p>
          <w:p w14:paraId="71666A5A" w14:textId="77777777" w:rsidR="00F63CFE" w:rsidRDefault="00F63CFE" w:rsidP="0085694F">
            <w:pPr>
              <w:autoSpaceDE w:val="0"/>
              <w:autoSpaceDN w:val="0"/>
              <w:adjustRightInd w:val="0"/>
              <w:ind w:left="-4" w:right="132" w:firstLine="345"/>
              <w:jc w:val="both"/>
            </w:pPr>
          </w:p>
          <w:p w14:paraId="24978EBE" w14:textId="65270F49" w:rsidR="00790C61" w:rsidRPr="006106CF" w:rsidRDefault="00790C61" w:rsidP="00F21DFF">
            <w:pPr>
              <w:pStyle w:val="ListParagraph"/>
              <w:numPr>
                <w:ilvl w:val="0"/>
                <w:numId w:val="24"/>
              </w:numPr>
              <w:autoSpaceDE w:val="0"/>
              <w:autoSpaceDN w:val="0"/>
              <w:adjustRightInd w:val="0"/>
              <w:ind w:left="0" w:right="132" w:firstLine="284"/>
              <w:jc w:val="both"/>
              <w:rPr>
                <w:b/>
                <w:i/>
              </w:rPr>
            </w:pPr>
            <w:r w:rsidRPr="006106CF">
              <w:rPr>
                <w:b/>
                <w:i/>
              </w:rPr>
              <w:t xml:space="preserve">PVN </w:t>
            </w:r>
            <w:r w:rsidR="000514FD" w:rsidRPr="006106CF">
              <w:rPr>
                <w:b/>
                <w:i/>
              </w:rPr>
              <w:t>samazinātā</w:t>
            </w:r>
            <w:r w:rsidR="00977188" w:rsidRPr="006106CF">
              <w:rPr>
                <w:b/>
                <w:i/>
              </w:rPr>
              <w:t xml:space="preserve"> likme piecu</w:t>
            </w:r>
            <w:r w:rsidRPr="006106CF">
              <w:rPr>
                <w:b/>
                <w:i/>
              </w:rPr>
              <w:t xml:space="preserve"> procentu apmērā</w:t>
            </w:r>
          </w:p>
          <w:p w14:paraId="0506CA99" w14:textId="4D475683" w:rsidR="00B60DEF" w:rsidRPr="006106CF" w:rsidRDefault="00C70B4D" w:rsidP="00D772CA">
            <w:pPr>
              <w:autoSpaceDE w:val="0"/>
              <w:autoSpaceDN w:val="0"/>
              <w:adjustRightInd w:val="0"/>
              <w:ind w:right="132"/>
              <w:jc w:val="both"/>
              <w:rPr>
                <w:rFonts w:eastAsia="Calibri"/>
                <w:szCs w:val="22"/>
                <w:lang w:eastAsia="en-US"/>
              </w:rPr>
            </w:pPr>
            <w:r w:rsidRPr="006106CF">
              <w:rPr>
                <w:rFonts w:eastAsia="Calibri"/>
                <w:szCs w:val="22"/>
                <w:lang w:eastAsia="en-US"/>
              </w:rPr>
              <w:t xml:space="preserve">Pašlaik </w:t>
            </w:r>
            <w:r w:rsidR="00D772CA" w:rsidRPr="006106CF">
              <w:rPr>
                <w:rFonts w:eastAsia="Calibri"/>
                <w:szCs w:val="22"/>
                <w:lang w:eastAsia="en-US"/>
              </w:rPr>
              <w:t xml:space="preserve">PVN samazināto likmi </w:t>
            </w:r>
            <w:r w:rsidR="00977188" w:rsidRPr="006106CF">
              <w:rPr>
                <w:rFonts w:eastAsia="Calibri"/>
                <w:szCs w:val="22"/>
                <w:lang w:eastAsia="en-US"/>
              </w:rPr>
              <w:t>piecu</w:t>
            </w:r>
            <w:r w:rsidR="00D772CA" w:rsidRPr="006106CF">
              <w:rPr>
                <w:rFonts w:eastAsia="Calibri"/>
                <w:szCs w:val="22"/>
                <w:lang w:eastAsia="en-US"/>
              </w:rPr>
              <w:t xml:space="preserve"> procentu apmērā piemēro tādām pārtikas produktu</w:t>
            </w:r>
            <w:proofErr w:type="gramStart"/>
            <w:r w:rsidR="00D772CA" w:rsidRPr="006106CF">
              <w:rPr>
                <w:rFonts w:eastAsia="Calibri"/>
                <w:szCs w:val="22"/>
                <w:lang w:eastAsia="en-US"/>
              </w:rPr>
              <w:t xml:space="preserve">  </w:t>
            </w:r>
            <w:proofErr w:type="gramEnd"/>
            <w:r w:rsidR="00D772CA" w:rsidRPr="006106CF">
              <w:rPr>
                <w:rFonts w:eastAsia="Calibri"/>
                <w:szCs w:val="22"/>
                <w:lang w:eastAsia="en-US"/>
              </w:rPr>
              <w:t xml:space="preserve">piegādēm, kas ir svaigi augļi ogas un dārzeņi, tostarp mazgāti, mizoti, lobīti, griezti, un fasēti, bet nav termiski apstrādāti vai kā citādi apstrādāti, piemēram, saldēti, sālīti, kaltēti, un kuri ir minēti </w:t>
            </w:r>
            <w:r w:rsidR="001C6D55" w:rsidRPr="006106CF">
              <w:rPr>
                <w:rFonts w:eastAsia="Calibri"/>
                <w:szCs w:val="22"/>
                <w:lang w:eastAsia="en-US"/>
              </w:rPr>
              <w:t>PVN</w:t>
            </w:r>
            <w:r w:rsidR="00D772CA" w:rsidRPr="006106CF">
              <w:rPr>
                <w:rFonts w:eastAsia="Calibri"/>
                <w:szCs w:val="22"/>
                <w:lang w:eastAsia="en-US"/>
              </w:rPr>
              <w:t xml:space="preserve"> </w:t>
            </w:r>
            <w:r w:rsidR="00F041CD" w:rsidRPr="006106CF">
              <w:rPr>
                <w:rFonts w:eastAsia="Calibri"/>
                <w:szCs w:val="22"/>
                <w:lang w:eastAsia="en-US"/>
              </w:rPr>
              <w:t>likuma pielikumā. PVN samazināt</w:t>
            </w:r>
            <w:r w:rsidR="000514FD" w:rsidRPr="006106CF">
              <w:rPr>
                <w:rFonts w:eastAsia="Calibri"/>
                <w:szCs w:val="22"/>
                <w:lang w:eastAsia="en-US"/>
              </w:rPr>
              <w:t>ā</w:t>
            </w:r>
            <w:r w:rsidR="00F041CD" w:rsidRPr="006106CF">
              <w:rPr>
                <w:rFonts w:eastAsia="Calibri"/>
                <w:szCs w:val="22"/>
                <w:lang w:eastAsia="en-US"/>
              </w:rPr>
              <w:t xml:space="preserve"> likme </w:t>
            </w:r>
            <w:r w:rsidR="00683B1E" w:rsidRPr="006106CF">
              <w:rPr>
                <w:rFonts w:eastAsia="Calibri"/>
                <w:szCs w:val="22"/>
                <w:lang w:eastAsia="en-US"/>
              </w:rPr>
              <w:t>piecu</w:t>
            </w:r>
            <w:r w:rsidR="00D772CA" w:rsidRPr="006106CF">
              <w:rPr>
                <w:rFonts w:eastAsia="Calibri"/>
                <w:szCs w:val="22"/>
                <w:lang w:eastAsia="en-US"/>
              </w:rPr>
              <w:t xml:space="preserve"> procentu apmērā svaigiem augļiem, ogām un dārzeņiem </w:t>
            </w:r>
            <w:r w:rsidR="00F041CD" w:rsidRPr="006106CF">
              <w:rPr>
                <w:rFonts w:eastAsia="Calibri"/>
                <w:szCs w:val="22"/>
                <w:lang w:eastAsia="en-US"/>
              </w:rPr>
              <w:t xml:space="preserve">bija </w:t>
            </w:r>
            <w:r w:rsidR="00D772CA" w:rsidRPr="006106CF">
              <w:rPr>
                <w:rFonts w:eastAsia="Calibri"/>
                <w:szCs w:val="22"/>
                <w:lang w:eastAsia="en-US"/>
              </w:rPr>
              <w:t>ieviest</w:t>
            </w:r>
            <w:r w:rsidR="00F041CD" w:rsidRPr="006106CF">
              <w:rPr>
                <w:rFonts w:eastAsia="Calibri"/>
                <w:szCs w:val="22"/>
                <w:lang w:eastAsia="en-US"/>
              </w:rPr>
              <w:t>a</w:t>
            </w:r>
            <w:r w:rsidR="00D772CA" w:rsidRPr="006106CF">
              <w:rPr>
                <w:rFonts w:eastAsia="Calibri"/>
                <w:szCs w:val="22"/>
                <w:lang w:eastAsia="en-US"/>
              </w:rPr>
              <w:t xml:space="preserve"> uz laiku no 2018.gada 1.janvāra līdz 2020.gada 31.decembrim.</w:t>
            </w:r>
            <w:r w:rsidR="003D0C21" w:rsidRPr="006106CF">
              <w:rPr>
                <w:rFonts w:eastAsia="Calibri"/>
                <w:szCs w:val="22"/>
                <w:lang w:eastAsia="en-US"/>
              </w:rPr>
              <w:t xml:space="preserve"> </w:t>
            </w:r>
            <w:r w:rsidR="00804605" w:rsidRPr="006106CF">
              <w:rPr>
                <w:rFonts w:eastAsia="Calibri"/>
                <w:szCs w:val="22"/>
                <w:lang w:eastAsia="en-US"/>
              </w:rPr>
              <w:t>Ņemot vē</w:t>
            </w:r>
            <w:r w:rsidRPr="006106CF">
              <w:rPr>
                <w:rFonts w:eastAsia="Calibri"/>
                <w:szCs w:val="22"/>
                <w:lang w:eastAsia="en-US"/>
              </w:rPr>
              <w:t>rā Ministru kabinet</w:t>
            </w:r>
            <w:r w:rsidR="0041023C" w:rsidRPr="006106CF">
              <w:rPr>
                <w:rFonts w:eastAsia="Calibri"/>
                <w:szCs w:val="22"/>
                <w:lang w:eastAsia="en-US"/>
              </w:rPr>
              <w:t>a</w:t>
            </w:r>
            <w:r w:rsidRPr="006106CF">
              <w:rPr>
                <w:rFonts w:eastAsia="Calibri"/>
                <w:szCs w:val="22"/>
                <w:lang w:eastAsia="en-US"/>
              </w:rPr>
              <w:t xml:space="preserve"> </w:t>
            </w:r>
            <w:r w:rsidR="00804605" w:rsidRPr="006106CF">
              <w:rPr>
                <w:rFonts w:eastAsia="Calibri"/>
                <w:szCs w:val="22"/>
                <w:lang w:eastAsia="en-US"/>
              </w:rPr>
              <w:t>2020.gada 22.septembra sē</w:t>
            </w:r>
            <w:r w:rsidR="009016D3" w:rsidRPr="006106CF">
              <w:rPr>
                <w:rFonts w:eastAsia="Calibri"/>
                <w:szCs w:val="22"/>
                <w:lang w:eastAsia="en-US"/>
              </w:rPr>
              <w:t xml:space="preserve">dē </w:t>
            </w:r>
            <w:r w:rsidRPr="006106CF">
              <w:rPr>
                <w:rFonts w:eastAsia="Calibri"/>
                <w:szCs w:val="22"/>
                <w:lang w:eastAsia="en-US"/>
              </w:rPr>
              <w:t xml:space="preserve">lemto </w:t>
            </w:r>
            <w:r w:rsidR="007710A2" w:rsidRPr="006106CF">
              <w:rPr>
                <w:rFonts w:eastAsia="Calibri"/>
                <w:lang w:eastAsia="en-US"/>
              </w:rPr>
              <w:t xml:space="preserve"> (</w:t>
            </w:r>
            <w:r w:rsidR="00804605" w:rsidRPr="006106CF">
              <w:rPr>
                <w:rFonts w:eastAsia="Calibri"/>
                <w:lang w:eastAsia="en-US"/>
              </w:rPr>
              <w:t>protokollēmuma Nr.55, 38</w:t>
            </w:r>
            <w:r w:rsidR="007710A2" w:rsidRPr="006106CF">
              <w:rPr>
                <w:rFonts w:eastAsia="Calibri"/>
                <w:lang w:eastAsia="en-US"/>
              </w:rPr>
              <w:t xml:space="preserve">.§  </w:t>
            </w:r>
            <w:r w:rsidR="00470EF0" w:rsidRPr="006106CF">
              <w:rPr>
                <w:rFonts w:eastAsia="Calibri"/>
                <w:lang w:eastAsia="en-US"/>
              </w:rPr>
              <w:t>i</w:t>
            </w:r>
            <w:r w:rsidR="007710A2" w:rsidRPr="006106CF">
              <w:rPr>
                <w:rFonts w:eastAsia="Calibri"/>
                <w:lang w:eastAsia="en-US"/>
              </w:rPr>
              <w:t xml:space="preserve">nformatīvajam ziņojumam “Par priekšlikumiem valsts budžeta ieņēmumiem un izdevumiem 2021.gadam un ietvaram 2021.–2023.gadam” </w:t>
            </w:r>
            <w:r w:rsidR="00804605" w:rsidRPr="006106CF">
              <w:rPr>
                <w:rFonts w:eastAsia="Calibri"/>
                <w:lang w:eastAsia="en-US"/>
              </w:rPr>
              <w:t>27</w:t>
            </w:r>
            <w:r w:rsidR="007710A2" w:rsidRPr="006106CF">
              <w:rPr>
                <w:rFonts w:eastAsia="Calibri"/>
                <w:lang w:eastAsia="en-US"/>
              </w:rPr>
              <w:t>.punkts</w:t>
            </w:r>
            <w:r w:rsidRPr="006106CF">
              <w:rPr>
                <w:rFonts w:eastAsia="Calibri"/>
                <w:szCs w:val="22"/>
                <w:lang w:eastAsia="en-US"/>
              </w:rPr>
              <w:t>)</w:t>
            </w:r>
            <w:r w:rsidR="003D0C21" w:rsidRPr="006106CF">
              <w:rPr>
                <w:rFonts w:eastAsia="Calibri"/>
                <w:szCs w:val="22"/>
                <w:lang w:eastAsia="en-US"/>
              </w:rPr>
              <w:t xml:space="preserve">, PVN </w:t>
            </w:r>
            <w:r w:rsidR="00BD3EB9" w:rsidRPr="006106CF">
              <w:rPr>
                <w:rFonts w:eastAsia="Calibri"/>
                <w:szCs w:val="22"/>
                <w:lang w:eastAsia="en-US"/>
              </w:rPr>
              <w:t>samazināto likmi</w:t>
            </w:r>
            <w:r w:rsidR="003D0C21" w:rsidRPr="006106CF">
              <w:rPr>
                <w:rFonts w:eastAsia="Calibri"/>
                <w:szCs w:val="22"/>
                <w:lang w:eastAsia="en-US"/>
              </w:rPr>
              <w:t xml:space="preserve"> piecu</w:t>
            </w:r>
            <w:r w:rsidR="000E62A2" w:rsidRPr="006106CF">
              <w:rPr>
                <w:rFonts w:eastAsia="Calibri"/>
                <w:szCs w:val="22"/>
                <w:lang w:eastAsia="en-US"/>
              </w:rPr>
              <w:t xml:space="preserve"> procentu apmērā </w:t>
            </w:r>
            <w:r w:rsidR="003D0C21" w:rsidRPr="006106CF">
              <w:rPr>
                <w:rFonts w:eastAsia="Calibri"/>
                <w:szCs w:val="22"/>
                <w:lang w:eastAsia="en-US"/>
              </w:rPr>
              <w:t>svaig</w:t>
            </w:r>
            <w:r w:rsidR="00BD3EB9" w:rsidRPr="006106CF">
              <w:rPr>
                <w:rFonts w:eastAsia="Calibri"/>
                <w:szCs w:val="22"/>
                <w:lang w:eastAsia="en-US"/>
              </w:rPr>
              <w:t xml:space="preserve">iem augļiem, ogām un dārzeņiem saglabā uz turpmākajiem </w:t>
            </w:r>
            <w:r w:rsidR="003D0C21" w:rsidRPr="006106CF">
              <w:rPr>
                <w:rFonts w:eastAsia="Calibri"/>
                <w:szCs w:val="22"/>
                <w:lang w:eastAsia="en-US"/>
              </w:rPr>
              <w:t>3 gadiem (no 2021.gada 1.janvāra līdz 2023.gada 31.decembrim), v</w:t>
            </w:r>
            <w:r w:rsidR="00BD3EB9" w:rsidRPr="006106CF">
              <w:rPr>
                <w:rFonts w:eastAsia="Calibri"/>
                <w:szCs w:val="22"/>
                <w:lang w:eastAsia="en-US"/>
              </w:rPr>
              <w:t xml:space="preserve">ērtējot </w:t>
            </w:r>
            <w:r w:rsidR="00B81640" w:rsidRPr="006106CF">
              <w:rPr>
                <w:rFonts w:eastAsia="Calibri"/>
                <w:szCs w:val="22"/>
                <w:lang w:eastAsia="en-US"/>
              </w:rPr>
              <w:t xml:space="preserve">sasniedzamos rezultatīvos rādītājus. </w:t>
            </w:r>
          </w:p>
          <w:p w14:paraId="0C4AE8EE" w14:textId="66D6CA8A" w:rsidR="005C34B4" w:rsidRPr="006106CF" w:rsidRDefault="00034518" w:rsidP="00B60DEF">
            <w:pPr>
              <w:autoSpaceDE w:val="0"/>
              <w:autoSpaceDN w:val="0"/>
              <w:adjustRightInd w:val="0"/>
              <w:ind w:right="132"/>
              <w:jc w:val="both"/>
            </w:pPr>
            <w:r w:rsidRPr="006106CF">
              <w:lastRenderedPageBreak/>
              <w:t>Attiecībā uz</w:t>
            </w:r>
            <w:r w:rsidR="00B60DEF" w:rsidRPr="006106CF">
              <w:t xml:space="preserve"> PVN samazinātās likmes</w:t>
            </w:r>
            <w:r w:rsidR="0020455A" w:rsidRPr="006106CF">
              <w:t xml:space="preserve"> piecu procentu apmērā saglabāšanu </w:t>
            </w:r>
            <w:r w:rsidR="00B60DEF" w:rsidRPr="006106CF">
              <w:t>Zemkopības ministrija</w:t>
            </w:r>
            <w:r w:rsidR="00516384" w:rsidRPr="006106CF">
              <w:t xml:space="preserve"> izvirza</w:t>
            </w:r>
            <w:r w:rsidR="00B60DEF" w:rsidRPr="006106CF">
              <w:t xml:space="preserve"> mērķ</w:t>
            </w:r>
            <w:r w:rsidR="00CB5C01" w:rsidRPr="006106CF">
              <w:t>us</w:t>
            </w:r>
            <w:proofErr w:type="gramStart"/>
            <w:r w:rsidR="00B60DEF" w:rsidRPr="006106CF">
              <w:t xml:space="preserve"> </w:t>
            </w:r>
            <w:r w:rsidR="00CB5C01" w:rsidRPr="006106CF">
              <w:t xml:space="preserve"> </w:t>
            </w:r>
            <w:proofErr w:type="gramEnd"/>
            <w:r w:rsidR="00CB5C01" w:rsidRPr="006106CF">
              <w:t>veicināt augļkopības un dārzeņkopības nozaru attīstību, mazin</w:t>
            </w:r>
            <w:r w:rsidR="005C612D" w:rsidRPr="006106CF">
              <w:t>ā</w:t>
            </w:r>
            <w:r w:rsidR="00CB5C01" w:rsidRPr="006106CF">
              <w:t>t ēnu ekonomiku</w:t>
            </w:r>
            <w:r w:rsidR="005C612D" w:rsidRPr="006106CF">
              <w:t>,</w:t>
            </w:r>
            <w:r w:rsidR="00CB5C01" w:rsidRPr="006106CF">
              <w:t xml:space="preserve">  palielin</w:t>
            </w:r>
            <w:r w:rsidR="005C612D" w:rsidRPr="006106CF">
              <w:t>ā</w:t>
            </w:r>
            <w:r w:rsidR="00CB5C01" w:rsidRPr="006106CF">
              <w:t>t legālajā tirgū darbojošos komersantu konkurētspēju, kā arī veicināt svaigu augļu, ogu un dārzeņu patēriņu</w:t>
            </w:r>
            <w:r w:rsidR="00CB5C01" w:rsidRPr="006106CF" w:rsidDel="00CB5C01">
              <w:t xml:space="preserve"> </w:t>
            </w:r>
            <w:r w:rsidR="00B60DEF" w:rsidRPr="006106CF">
              <w:t xml:space="preserve">. </w:t>
            </w:r>
          </w:p>
          <w:p w14:paraId="5A2054B1" w14:textId="0CFE2129" w:rsidR="00B60DEF" w:rsidRDefault="00B60DEF" w:rsidP="00B60DEF">
            <w:pPr>
              <w:autoSpaceDE w:val="0"/>
              <w:autoSpaceDN w:val="0"/>
              <w:adjustRightInd w:val="0"/>
              <w:ind w:right="132"/>
              <w:jc w:val="both"/>
            </w:pPr>
            <w:r w:rsidRPr="006106CF">
              <w:t xml:space="preserve">Lai novērtētu izvirzīto mērķi, ir </w:t>
            </w:r>
            <w:r w:rsidR="003B0EC3" w:rsidRPr="006106CF">
              <w:t>noteikti šādi sasniedzamie rezultatīvie rādītāji:</w:t>
            </w:r>
          </w:p>
          <w:tbl>
            <w:tblPr>
              <w:tblW w:w="7371" w:type="dxa"/>
              <w:shd w:val="clear" w:color="auto" w:fill="FFFFFF"/>
              <w:tblCellMar>
                <w:left w:w="0" w:type="dxa"/>
                <w:right w:w="0" w:type="dxa"/>
              </w:tblCellMar>
              <w:tblLook w:val="04A0" w:firstRow="1" w:lastRow="0" w:firstColumn="1" w:lastColumn="0" w:noHBand="0" w:noVBand="1"/>
            </w:tblPr>
            <w:tblGrid>
              <w:gridCol w:w="541"/>
              <w:gridCol w:w="1182"/>
              <w:gridCol w:w="1331"/>
              <w:gridCol w:w="1305"/>
              <w:gridCol w:w="1440"/>
              <w:gridCol w:w="1572"/>
            </w:tblGrid>
            <w:tr w:rsidR="005C34B4" w:rsidRPr="00161E25" w14:paraId="398BECC5" w14:textId="77777777" w:rsidTr="00540A30">
              <w:tc>
                <w:tcPr>
                  <w:tcW w:w="55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4EA90BB" w14:textId="7EE659C5" w:rsidR="005C34B4" w:rsidRPr="00161E25" w:rsidRDefault="005C34B4" w:rsidP="001A7298">
                  <w:pPr>
                    <w:framePr w:hSpace="180" w:wrap="around" w:vAnchor="text" w:hAnchor="margin" w:y="106"/>
                    <w:spacing w:line="252" w:lineRule="auto"/>
                    <w:rPr>
                      <w:sz w:val="20"/>
                      <w:szCs w:val="20"/>
                    </w:rPr>
                  </w:pPr>
                  <w:r w:rsidRPr="00161E25">
                    <w:rPr>
                      <w:b/>
                      <w:bCs/>
                      <w:color w:val="201F1E"/>
                      <w:sz w:val="20"/>
                      <w:szCs w:val="20"/>
                      <w:bdr w:val="none" w:sz="0" w:space="0" w:color="auto" w:frame="1"/>
                    </w:rPr>
                    <w:t>Nr.</w:t>
                  </w:r>
                  <w:r w:rsidRPr="00161E25">
                    <w:rPr>
                      <w:color w:val="201F1E"/>
                      <w:sz w:val="20"/>
                      <w:szCs w:val="20"/>
                    </w:rPr>
                    <w:t xml:space="preserve"> </w:t>
                  </w:r>
                </w:p>
                <w:p w14:paraId="35BF0909" w14:textId="77777777" w:rsidR="005C34B4" w:rsidRPr="00161E25" w:rsidRDefault="005C34B4" w:rsidP="001A7298">
                  <w:pPr>
                    <w:framePr w:hSpace="180" w:wrap="around" w:vAnchor="text" w:hAnchor="margin" w:y="106"/>
                    <w:spacing w:line="252" w:lineRule="auto"/>
                    <w:rPr>
                      <w:sz w:val="20"/>
                      <w:szCs w:val="20"/>
                    </w:rPr>
                  </w:pPr>
                  <w:r w:rsidRPr="00161E25">
                    <w:rPr>
                      <w:b/>
                      <w:bCs/>
                      <w:color w:val="201F1E"/>
                      <w:sz w:val="20"/>
                      <w:szCs w:val="20"/>
                      <w:bdr w:val="none" w:sz="0" w:space="0" w:color="auto" w:frame="1"/>
                    </w:rPr>
                    <w:t>p.k.</w:t>
                  </w:r>
                  <w:r w:rsidRPr="00161E25">
                    <w:rPr>
                      <w:color w:val="201F1E"/>
                      <w:sz w:val="20"/>
                      <w:szCs w:val="20"/>
                    </w:rPr>
                    <w:t xml:space="preserve"> </w:t>
                  </w:r>
                </w:p>
              </w:tc>
              <w:tc>
                <w:tcPr>
                  <w:tcW w:w="1319" w:type="dxa"/>
                  <w:tcBorders>
                    <w:top w:val="single" w:sz="8" w:space="0" w:color="auto"/>
                    <w:left w:val="nil"/>
                    <w:bottom w:val="single" w:sz="8" w:space="0" w:color="auto"/>
                    <w:right w:val="single" w:sz="8" w:space="0" w:color="auto"/>
                  </w:tcBorders>
                  <w:shd w:val="clear" w:color="auto" w:fill="FFFFFF"/>
                  <w:hideMark/>
                </w:tcPr>
                <w:p w14:paraId="7CCA7376" w14:textId="77777777" w:rsidR="005C34B4" w:rsidRPr="00161E25" w:rsidRDefault="005C34B4" w:rsidP="001A7298">
                  <w:pPr>
                    <w:framePr w:hSpace="180" w:wrap="around" w:vAnchor="text" w:hAnchor="margin" w:y="106"/>
                    <w:spacing w:line="252" w:lineRule="auto"/>
                    <w:rPr>
                      <w:sz w:val="20"/>
                      <w:szCs w:val="20"/>
                    </w:rPr>
                  </w:pPr>
                  <w:r w:rsidRPr="00161E25">
                    <w:rPr>
                      <w:b/>
                      <w:bCs/>
                      <w:color w:val="201F1E"/>
                      <w:sz w:val="20"/>
                      <w:szCs w:val="20"/>
                      <w:bdr w:val="none" w:sz="0" w:space="0" w:color="auto" w:frame="1"/>
                    </w:rPr>
                    <w:t xml:space="preserve">Mērķis </w:t>
                  </w:r>
                </w:p>
              </w:tc>
              <w:tc>
                <w:tcPr>
                  <w:tcW w:w="143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DBC63DC" w14:textId="77777777" w:rsidR="005C34B4" w:rsidRPr="00161E25" w:rsidRDefault="005C34B4" w:rsidP="001A7298">
                  <w:pPr>
                    <w:framePr w:hSpace="180" w:wrap="around" w:vAnchor="text" w:hAnchor="margin" w:y="106"/>
                    <w:spacing w:line="252" w:lineRule="auto"/>
                    <w:rPr>
                      <w:sz w:val="20"/>
                      <w:szCs w:val="20"/>
                    </w:rPr>
                  </w:pPr>
                  <w:r w:rsidRPr="00161E25">
                    <w:rPr>
                      <w:b/>
                      <w:bCs/>
                      <w:color w:val="201F1E"/>
                      <w:sz w:val="20"/>
                      <w:szCs w:val="20"/>
                      <w:bdr w:val="none" w:sz="0" w:space="0" w:color="auto" w:frame="1"/>
                    </w:rPr>
                    <w:t>Rezultatīvais radītājs</w:t>
                  </w:r>
                  <w:r w:rsidRPr="00161E25">
                    <w:rPr>
                      <w:color w:val="201F1E"/>
                      <w:sz w:val="20"/>
                      <w:szCs w:val="20"/>
                    </w:rPr>
                    <w:t xml:space="preserve"> </w:t>
                  </w:r>
                </w:p>
              </w:tc>
              <w:tc>
                <w:tcPr>
                  <w:tcW w:w="14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F4FE1A3" w14:textId="77777777" w:rsidR="005C34B4" w:rsidRPr="00161E25" w:rsidRDefault="005C34B4" w:rsidP="001A7298">
                  <w:pPr>
                    <w:framePr w:hSpace="180" w:wrap="around" w:vAnchor="text" w:hAnchor="margin" w:y="106"/>
                    <w:spacing w:line="252" w:lineRule="auto"/>
                    <w:rPr>
                      <w:sz w:val="20"/>
                      <w:szCs w:val="20"/>
                    </w:rPr>
                  </w:pPr>
                  <w:r w:rsidRPr="00161E25">
                    <w:rPr>
                      <w:b/>
                      <w:bCs/>
                      <w:color w:val="201F1E"/>
                      <w:sz w:val="20"/>
                      <w:szCs w:val="20"/>
                      <w:bdr w:val="none" w:sz="0" w:space="0" w:color="auto" w:frame="1"/>
                    </w:rPr>
                    <w:t>Datu avots</w:t>
                  </w:r>
                  <w:r w:rsidRPr="00161E25">
                    <w:rPr>
                      <w:color w:val="201F1E"/>
                      <w:sz w:val="20"/>
                      <w:szCs w:val="20"/>
                    </w:rPr>
                    <w:t xml:space="preserve"> </w:t>
                  </w:r>
                </w:p>
              </w:tc>
              <w:tc>
                <w:tcPr>
                  <w:tcW w:w="147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69007A6" w14:textId="77777777" w:rsidR="005C34B4" w:rsidRPr="00161E25" w:rsidRDefault="005C34B4" w:rsidP="001A7298">
                  <w:pPr>
                    <w:framePr w:hSpace="180" w:wrap="around" w:vAnchor="text" w:hAnchor="margin" w:y="106"/>
                    <w:spacing w:line="252" w:lineRule="auto"/>
                    <w:rPr>
                      <w:sz w:val="20"/>
                      <w:szCs w:val="20"/>
                    </w:rPr>
                  </w:pPr>
                  <w:r w:rsidRPr="00161E25">
                    <w:rPr>
                      <w:b/>
                      <w:bCs/>
                      <w:color w:val="201F1E"/>
                      <w:sz w:val="20"/>
                      <w:szCs w:val="20"/>
                      <w:bdr w:val="none" w:sz="0" w:space="0" w:color="auto" w:frame="1"/>
                    </w:rPr>
                    <w:t>Raksturojums</w:t>
                  </w:r>
                  <w:r w:rsidRPr="00161E25">
                    <w:rPr>
                      <w:color w:val="201F1E"/>
                      <w:sz w:val="20"/>
                      <w:szCs w:val="20"/>
                    </w:rPr>
                    <w:t xml:space="preserve"> </w:t>
                  </w:r>
                </w:p>
              </w:tc>
              <w:tc>
                <w:tcPr>
                  <w:tcW w:w="11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E82588E" w14:textId="77777777" w:rsidR="005C34B4" w:rsidRPr="00161E25" w:rsidRDefault="005C34B4" w:rsidP="001A7298">
                  <w:pPr>
                    <w:framePr w:hSpace="180" w:wrap="around" w:vAnchor="text" w:hAnchor="margin" w:y="106"/>
                    <w:spacing w:line="252" w:lineRule="auto"/>
                    <w:rPr>
                      <w:sz w:val="20"/>
                      <w:szCs w:val="20"/>
                    </w:rPr>
                  </w:pPr>
                  <w:r w:rsidRPr="00161E25">
                    <w:rPr>
                      <w:b/>
                      <w:bCs/>
                      <w:color w:val="201F1E"/>
                      <w:sz w:val="20"/>
                      <w:szCs w:val="20"/>
                      <w:bdr w:val="none" w:sz="0" w:space="0" w:color="auto" w:frame="1"/>
                    </w:rPr>
                    <w:t>Vērtība</w:t>
                  </w:r>
                  <w:r w:rsidRPr="00161E25">
                    <w:rPr>
                      <w:color w:val="201F1E"/>
                      <w:sz w:val="20"/>
                      <w:szCs w:val="20"/>
                    </w:rPr>
                    <w:t xml:space="preserve"> </w:t>
                  </w:r>
                </w:p>
              </w:tc>
            </w:tr>
            <w:tr w:rsidR="005C34B4" w:rsidRPr="00161E25" w14:paraId="39485041" w14:textId="77777777" w:rsidTr="00540A30">
              <w:tc>
                <w:tcPr>
                  <w:tcW w:w="5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8070959" w14:textId="77777777" w:rsidR="005C34B4" w:rsidRPr="00161E25" w:rsidRDefault="005C34B4" w:rsidP="001A7298">
                  <w:pPr>
                    <w:framePr w:hSpace="180" w:wrap="around" w:vAnchor="text" w:hAnchor="margin" w:y="106"/>
                    <w:spacing w:line="252" w:lineRule="auto"/>
                    <w:rPr>
                      <w:sz w:val="20"/>
                      <w:szCs w:val="20"/>
                    </w:rPr>
                  </w:pPr>
                  <w:r w:rsidRPr="00161E25">
                    <w:rPr>
                      <w:color w:val="201F1E"/>
                      <w:sz w:val="20"/>
                      <w:szCs w:val="20"/>
                      <w:bdr w:val="none" w:sz="0" w:space="0" w:color="auto" w:frame="1"/>
                    </w:rPr>
                    <w:t>1.</w:t>
                  </w:r>
                  <w:r w:rsidRPr="00161E25">
                    <w:rPr>
                      <w:color w:val="201F1E"/>
                      <w:sz w:val="20"/>
                      <w:szCs w:val="20"/>
                    </w:rPr>
                    <w:t xml:space="preserve"> </w:t>
                  </w:r>
                </w:p>
              </w:tc>
              <w:tc>
                <w:tcPr>
                  <w:tcW w:w="1319" w:type="dxa"/>
                  <w:tcBorders>
                    <w:top w:val="nil"/>
                    <w:left w:val="nil"/>
                    <w:bottom w:val="single" w:sz="8" w:space="0" w:color="auto"/>
                    <w:right w:val="single" w:sz="8" w:space="0" w:color="auto"/>
                  </w:tcBorders>
                  <w:shd w:val="clear" w:color="auto" w:fill="FFFFFF"/>
                  <w:vAlign w:val="center"/>
                  <w:hideMark/>
                </w:tcPr>
                <w:p w14:paraId="50FE759F" w14:textId="77777777" w:rsidR="005C34B4" w:rsidRPr="00161E25" w:rsidRDefault="005C34B4" w:rsidP="001A7298">
                  <w:pPr>
                    <w:framePr w:hSpace="180" w:wrap="around" w:vAnchor="text" w:hAnchor="margin" w:y="106"/>
                    <w:spacing w:line="252" w:lineRule="auto"/>
                    <w:rPr>
                      <w:sz w:val="20"/>
                      <w:szCs w:val="20"/>
                    </w:rPr>
                  </w:pPr>
                  <w:r w:rsidRPr="00161E25">
                    <w:rPr>
                      <w:color w:val="201F1E"/>
                      <w:sz w:val="20"/>
                      <w:szCs w:val="20"/>
                      <w:bdr w:val="none" w:sz="0" w:space="0" w:color="auto" w:frame="1"/>
                    </w:rPr>
                    <w:t>Veicināt augļkopības un dārzeņkopības nozaru attīstību</w:t>
                  </w:r>
                  <w:r w:rsidRPr="00161E25">
                    <w:rPr>
                      <w:sz w:val="20"/>
                      <w:szCs w:val="20"/>
                    </w:rPr>
                    <w:t xml:space="preserve"> </w:t>
                  </w:r>
                </w:p>
              </w:tc>
              <w:tc>
                <w:tcPr>
                  <w:tcW w:w="14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CF329E1" w14:textId="77777777" w:rsidR="005C34B4" w:rsidRPr="00161E25" w:rsidRDefault="005C34B4" w:rsidP="001A7298">
                  <w:pPr>
                    <w:framePr w:hSpace="180" w:wrap="around" w:vAnchor="text" w:hAnchor="margin" w:y="106"/>
                    <w:spacing w:line="252" w:lineRule="auto"/>
                    <w:rPr>
                      <w:sz w:val="20"/>
                      <w:szCs w:val="20"/>
                    </w:rPr>
                  </w:pPr>
                  <w:r w:rsidRPr="00161E25">
                    <w:rPr>
                      <w:color w:val="201F1E"/>
                      <w:sz w:val="20"/>
                      <w:szCs w:val="20"/>
                      <w:bdr w:val="none" w:sz="0" w:space="0" w:color="auto" w:frame="1"/>
                    </w:rPr>
                    <w:t>PVN likumā noteikto augļu, ogu un dārzeņu izaudzētās produkcijas vērtība salīdzinājumā pret ievesto produkcijas vērtību</w:t>
                  </w:r>
                  <w:r w:rsidRPr="00161E25">
                    <w:rPr>
                      <w:sz w:val="20"/>
                      <w:szCs w:val="20"/>
                    </w:rPr>
                    <w:t xml:space="preserve"> </w:t>
                  </w:r>
                </w:p>
              </w:tc>
              <w:tc>
                <w:tcPr>
                  <w:tcW w:w="1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79A83C4" w14:textId="77777777" w:rsidR="005C34B4" w:rsidRPr="00161E25" w:rsidRDefault="005C34B4" w:rsidP="001A7298">
                  <w:pPr>
                    <w:framePr w:hSpace="180" w:wrap="around" w:vAnchor="text" w:hAnchor="margin" w:y="106"/>
                    <w:spacing w:line="252" w:lineRule="auto"/>
                    <w:rPr>
                      <w:sz w:val="20"/>
                      <w:szCs w:val="20"/>
                    </w:rPr>
                  </w:pPr>
                  <w:r w:rsidRPr="00161E25">
                    <w:rPr>
                      <w:color w:val="201F1E"/>
                      <w:sz w:val="20"/>
                      <w:szCs w:val="20"/>
                      <w:bdr w:val="none" w:sz="0" w:space="0" w:color="auto" w:frame="1"/>
                    </w:rPr>
                    <w:t>Agroresursu un ekonomikas institūts,</w:t>
                  </w:r>
                  <w:r w:rsidRPr="00161E25">
                    <w:rPr>
                      <w:color w:val="201F1E"/>
                      <w:sz w:val="20"/>
                      <w:szCs w:val="20"/>
                    </w:rPr>
                    <w:t xml:space="preserve"> Eurostat </w:t>
                  </w:r>
                </w:p>
              </w:tc>
              <w:tc>
                <w:tcPr>
                  <w:tcW w:w="14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DBDC6AC" w14:textId="6E30D7E8" w:rsidR="005C34B4" w:rsidRPr="00161E25" w:rsidRDefault="001E4F19" w:rsidP="001A7298">
                  <w:pPr>
                    <w:framePr w:hSpace="180" w:wrap="around" w:vAnchor="text" w:hAnchor="margin" w:y="106"/>
                    <w:spacing w:line="252" w:lineRule="auto"/>
                    <w:rPr>
                      <w:sz w:val="20"/>
                      <w:szCs w:val="20"/>
                    </w:rPr>
                  </w:pPr>
                  <w:r w:rsidRPr="001E4F19">
                    <w:rPr>
                      <w:color w:val="201F1E"/>
                      <w:sz w:val="20"/>
                      <w:szCs w:val="20"/>
                      <w:bdr w:val="none" w:sz="0" w:space="0" w:color="auto" w:frame="1"/>
                    </w:rPr>
                    <w:t>PVN likumā noteikto augļu, ogu un dārzeņu izaudzētās produkcijas vērtības gada pārmaiņas (%) salīdzinājumā pret ievestās produkcijas vērtības gada pārmaiņām (%)</w:t>
                  </w:r>
                </w:p>
              </w:tc>
              <w:tc>
                <w:tcPr>
                  <w:tcW w:w="1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47BB7D6" w14:textId="77777777" w:rsidR="005C34B4" w:rsidRPr="00161E25" w:rsidRDefault="005C34B4" w:rsidP="001A7298">
                  <w:pPr>
                    <w:framePr w:hSpace="180" w:wrap="around" w:vAnchor="text" w:hAnchor="margin" w:y="106"/>
                    <w:spacing w:line="252" w:lineRule="auto"/>
                    <w:rPr>
                      <w:sz w:val="20"/>
                      <w:szCs w:val="20"/>
                    </w:rPr>
                  </w:pPr>
                  <w:r w:rsidRPr="00161E25">
                    <w:rPr>
                      <w:color w:val="201F1E"/>
                      <w:sz w:val="20"/>
                      <w:szCs w:val="20"/>
                      <w:bdr w:val="none" w:sz="0" w:space="0" w:color="auto" w:frame="1"/>
                    </w:rPr>
                    <w:t>Lielāks par 1 procentpunktu ik gadu</w:t>
                  </w:r>
                  <w:r w:rsidRPr="00161E25">
                    <w:rPr>
                      <w:color w:val="201F1E"/>
                      <w:sz w:val="20"/>
                      <w:szCs w:val="20"/>
                    </w:rPr>
                    <w:t xml:space="preserve"> </w:t>
                  </w:r>
                </w:p>
              </w:tc>
            </w:tr>
            <w:tr w:rsidR="005C34B4" w:rsidRPr="00161E25" w14:paraId="63CA8060" w14:textId="77777777" w:rsidTr="00540A30">
              <w:tc>
                <w:tcPr>
                  <w:tcW w:w="5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63B9A57" w14:textId="77777777" w:rsidR="005C34B4" w:rsidRPr="00161E25" w:rsidRDefault="005C34B4" w:rsidP="001A7298">
                  <w:pPr>
                    <w:framePr w:hSpace="180" w:wrap="around" w:vAnchor="text" w:hAnchor="margin" w:y="106"/>
                    <w:spacing w:line="252" w:lineRule="auto"/>
                    <w:rPr>
                      <w:sz w:val="20"/>
                      <w:szCs w:val="20"/>
                    </w:rPr>
                  </w:pPr>
                  <w:r w:rsidRPr="00161E25">
                    <w:rPr>
                      <w:color w:val="201F1E"/>
                      <w:sz w:val="20"/>
                      <w:szCs w:val="20"/>
                      <w:bdr w:val="none" w:sz="0" w:space="0" w:color="auto" w:frame="1"/>
                    </w:rPr>
                    <w:t xml:space="preserve">2. </w:t>
                  </w:r>
                </w:p>
              </w:tc>
              <w:tc>
                <w:tcPr>
                  <w:tcW w:w="1319" w:type="dxa"/>
                  <w:tcBorders>
                    <w:top w:val="nil"/>
                    <w:left w:val="nil"/>
                    <w:bottom w:val="single" w:sz="8" w:space="0" w:color="auto"/>
                    <w:right w:val="single" w:sz="8" w:space="0" w:color="auto"/>
                  </w:tcBorders>
                  <w:shd w:val="clear" w:color="auto" w:fill="FFFFFF"/>
                  <w:vAlign w:val="center"/>
                  <w:hideMark/>
                </w:tcPr>
                <w:p w14:paraId="579CD572" w14:textId="77777777" w:rsidR="005C34B4" w:rsidRPr="00161E25" w:rsidRDefault="005C34B4" w:rsidP="001A7298">
                  <w:pPr>
                    <w:framePr w:hSpace="180" w:wrap="around" w:vAnchor="text" w:hAnchor="margin" w:y="106"/>
                    <w:spacing w:line="252" w:lineRule="auto"/>
                    <w:rPr>
                      <w:sz w:val="20"/>
                      <w:szCs w:val="20"/>
                    </w:rPr>
                  </w:pPr>
                  <w:r w:rsidRPr="00161E25">
                    <w:rPr>
                      <w:sz w:val="20"/>
                      <w:szCs w:val="20"/>
                    </w:rPr>
                    <w:t>Veicināt svaigu augļu, ogu un dārzeņu patēriņu</w:t>
                  </w:r>
                  <w:r w:rsidRPr="00161E25">
                    <w:rPr>
                      <w:color w:val="201F1E"/>
                      <w:sz w:val="20"/>
                      <w:szCs w:val="20"/>
                      <w:bdr w:val="none" w:sz="0" w:space="0" w:color="auto" w:frame="1"/>
                    </w:rPr>
                    <w:t xml:space="preserve"> </w:t>
                  </w:r>
                </w:p>
              </w:tc>
              <w:tc>
                <w:tcPr>
                  <w:tcW w:w="14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6B54816" w14:textId="77777777" w:rsidR="005C34B4" w:rsidRPr="00161E25" w:rsidRDefault="005C34B4" w:rsidP="001A7298">
                  <w:pPr>
                    <w:framePr w:hSpace="180" w:wrap="around" w:vAnchor="text" w:hAnchor="margin" w:y="106"/>
                    <w:spacing w:line="252" w:lineRule="auto"/>
                    <w:rPr>
                      <w:sz w:val="20"/>
                      <w:szCs w:val="20"/>
                    </w:rPr>
                  </w:pPr>
                  <w:r w:rsidRPr="00161E25">
                    <w:rPr>
                      <w:color w:val="201F1E"/>
                      <w:sz w:val="20"/>
                      <w:szCs w:val="20"/>
                      <w:bdr w:val="none" w:sz="0" w:space="0" w:color="auto" w:frame="1"/>
                    </w:rPr>
                    <w:t xml:space="preserve">Apgrozījums </w:t>
                  </w:r>
                </w:p>
              </w:tc>
              <w:tc>
                <w:tcPr>
                  <w:tcW w:w="1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39B4D61" w14:textId="77777777" w:rsidR="005C34B4" w:rsidRPr="00161E25" w:rsidRDefault="005C34B4" w:rsidP="001A7298">
                  <w:pPr>
                    <w:framePr w:hSpace="180" w:wrap="around" w:vAnchor="text" w:hAnchor="margin" w:y="106"/>
                    <w:spacing w:line="252" w:lineRule="auto"/>
                    <w:rPr>
                      <w:sz w:val="20"/>
                      <w:szCs w:val="20"/>
                    </w:rPr>
                  </w:pPr>
                  <w:r w:rsidRPr="00161E25">
                    <w:rPr>
                      <w:color w:val="201F1E"/>
                      <w:sz w:val="20"/>
                      <w:szCs w:val="20"/>
                      <w:bdr w:val="none" w:sz="0" w:space="0" w:color="auto" w:frame="1"/>
                    </w:rPr>
                    <w:t xml:space="preserve">VID dati </w:t>
                  </w:r>
                </w:p>
              </w:tc>
              <w:tc>
                <w:tcPr>
                  <w:tcW w:w="14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7F476D3" w14:textId="7B8689D9" w:rsidR="005C34B4" w:rsidRPr="00161E25" w:rsidRDefault="005C34B4" w:rsidP="001A7298">
                  <w:pPr>
                    <w:framePr w:hSpace="180" w:wrap="around" w:vAnchor="text" w:hAnchor="margin" w:y="106"/>
                    <w:spacing w:line="252" w:lineRule="auto"/>
                    <w:rPr>
                      <w:sz w:val="20"/>
                      <w:szCs w:val="20"/>
                    </w:rPr>
                  </w:pPr>
                </w:p>
                <w:p w14:paraId="587F6EC4" w14:textId="74FBD575" w:rsidR="005C34B4" w:rsidRPr="00161E25" w:rsidRDefault="005D2699" w:rsidP="001A7298">
                  <w:pPr>
                    <w:framePr w:hSpace="180" w:wrap="around" w:vAnchor="text" w:hAnchor="margin" w:y="106"/>
                    <w:spacing w:line="252" w:lineRule="auto"/>
                    <w:rPr>
                      <w:sz w:val="20"/>
                      <w:szCs w:val="20"/>
                    </w:rPr>
                  </w:pPr>
                  <w:r w:rsidRPr="005D2699">
                    <w:rPr>
                      <w:color w:val="201F1E"/>
                      <w:sz w:val="20"/>
                      <w:szCs w:val="20"/>
                      <w:bdr w:val="none" w:sz="0" w:space="0" w:color="auto" w:frame="1"/>
                    </w:rPr>
                    <w:t xml:space="preserve">Kopējā ar </w:t>
                  </w:r>
                  <w:r w:rsidR="00FD5FE5">
                    <w:rPr>
                      <w:color w:val="201F1E"/>
                      <w:sz w:val="20"/>
                      <w:szCs w:val="20"/>
                      <w:bdr w:val="none" w:sz="0" w:space="0" w:color="auto" w:frame="1"/>
                    </w:rPr>
                    <w:t xml:space="preserve">PVN samazināto </w:t>
                  </w:r>
                  <w:r w:rsidRPr="005D2699">
                    <w:rPr>
                      <w:color w:val="201F1E"/>
                      <w:sz w:val="20"/>
                      <w:szCs w:val="20"/>
                      <w:bdr w:val="none" w:sz="0" w:space="0" w:color="auto" w:frame="1"/>
                    </w:rPr>
                    <w:t>5</w:t>
                  </w:r>
                  <w:r w:rsidR="000619B9">
                    <w:rPr>
                      <w:color w:val="201F1E"/>
                      <w:sz w:val="20"/>
                      <w:szCs w:val="20"/>
                      <w:bdr w:val="none" w:sz="0" w:space="0" w:color="auto" w:frame="1"/>
                    </w:rPr>
                    <w:t xml:space="preserve"> procentu</w:t>
                  </w:r>
                  <w:r w:rsidRPr="005D2699">
                    <w:rPr>
                      <w:color w:val="201F1E"/>
                      <w:sz w:val="20"/>
                      <w:szCs w:val="20"/>
                      <w:bdr w:val="none" w:sz="0" w:space="0" w:color="auto" w:frame="1"/>
                    </w:rPr>
                    <w:t xml:space="preserve"> likmi apliekamo darījumu vērtības</w:t>
                  </w:r>
                  <w:r w:rsidR="001E4F19">
                    <w:rPr>
                      <w:color w:val="201F1E"/>
                      <w:sz w:val="20"/>
                      <w:szCs w:val="20"/>
                      <w:bdr w:val="none" w:sz="0" w:space="0" w:color="auto" w:frame="1"/>
                    </w:rPr>
                    <w:t xml:space="preserve"> </w:t>
                  </w:r>
                  <w:r w:rsidR="005C34B4">
                    <w:rPr>
                      <w:rStyle w:val="FootnoteReference"/>
                      <w:color w:val="201F1E"/>
                      <w:sz w:val="20"/>
                      <w:szCs w:val="20"/>
                      <w:bdr w:val="none" w:sz="0" w:space="0" w:color="auto" w:frame="1"/>
                    </w:rPr>
                    <w:footnoteReference w:id="7"/>
                  </w:r>
                  <w:proofErr w:type="gramStart"/>
                  <w:r w:rsidR="005C34B4" w:rsidRPr="00161E25">
                    <w:rPr>
                      <w:color w:val="201F1E"/>
                      <w:sz w:val="20"/>
                      <w:szCs w:val="20"/>
                      <w:bdr w:val="none" w:sz="0" w:space="0" w:color="auto" w:frame="1"/>
                    </w:rPr>
                    <w:t xml:space="preserve"> </w:t>
                  </w:r>
                  <w:r>
                    <w:t xml:space="preserve"> </w:t>
                  </w:r>
                  <w:proofErr w:type="gramEnd"/>
                  <w:r>
                    <w:rPr>
                      <w:color w:val="201F1E"/>
                      <w:sz w:val="20"/>
                      <w:szCs w:val="20"/>
                      <w:bdr w:val="none" w:sz="0" w:space="0" w:color="auto" w:frame="1"/>
                    </w:rPr>
                    <w:t>gada pārmaiņas</w:t>
                  </w:r>
                  <w:r w:rsidRPr="005D2699">
                    <w:rPr>
                      <w:color w:val="201F1E"/>
                      <w:sz w:val="20"/>
                      <w:szCs w:val="20"/>
                      <w:bdr w:val="none" w:sz="0" w:space="0" w:color="auto" w:frame="1"/>
                    </w:rPr>
                    <w:t xml:space="preserve"> (%) salīdzinājumā ar kopējo darījumu vērtības</w:t>
                  </w:r>
                  <w:r w:rsidRPr="005D2699" w:rsidDel="005D2699">
                    <w:rPr>
                      <w:color w:val="201F1E"/>
                      <w:sz w:val="20"/>
                      <w:szCs w:val="20"/>
                      <w:bdr w:val="none" w:sz="0" w:space="0" w:color="auto" w:frame="1"/>
                    </w:rPr>
                    <w:t xml:space="preserve"> </w:t>
                  </w:r>
                  <w:r w:rsidR="005C34B4">
                    <w:rPr>
                      <w:rStyle w:val="FootnoteReference"/>
                      <w:color w:val="201F1E"/>
                      <w:sz w:val="20"/>
                      <w:szCs w:val="20"/>
                      <w:bdr w:val="none" w:sz="0" w:space="0" w:color="auto" w:frame="1"/>
                    </w:rPr>
                    <w:footnoteReference w:id="8"/>
                  </w:r>
                  <w:r w:rsidR="005C34B4" w:rsidRPr="00161E25">
                    <w:rPr>
                      <w:color w:val="201F1E"/>
                      <w:sz w:val="20"/>
                      <w:szCs w:val="20"/>
                      <w:bdr w:val="none" w:sz="0" w:space="0" w:color="auto" w:frame="1"/>
                    </w:rPr>
                    <w:t xml:space="preserve"> </w:t>
                  </w:r>
                  <w:r>
                    <w:t xml:space="preserve"> </w:t>
                  </w:r>
                  <w:r w:rsidRPr="005D2699">
                    <w:rPr>
                      <w:color w:val="201F1E"/>
                      <w:sz w:val="20"/>
                      <w:szCs w:val="20"/>
                      <w:bdr w:val="none" w:sz="0" w:space="0" w:color="auto" w:frame="1"/>
                    </w:rPr>
                    <w:t>gada pārmaiņām (%)</w:t>
                  </w:r>
                </w:p>
              </w:tc>
              <w:tc>
                <w:tcPr>
                  <w:tcW w:w="1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BC9478C" w14:textId="16329A05" w:rsidR="005C34B4" w:rsidRPr="00161E25" w:rsidRDefault="001E4F19" w:rsidP="001A7298">
                  <w:pPr>
                    <w:framePr w:hSpace="180" w:wrap="around" w:vAnchor="text" w:hAnchor="margin" w:y="106"/>
                    <w:spacing w:line="252" w:lineRule="auto"/>
                    <w:rPr>
                      <w:sz w:val="20"/>
                      <w:szCs w:val="20"/>
                    </w:rPr>
                  </w:pPr>
                  <w:r w:rsidRPr="001E4F19">
                    <w:rPr>
                      <w:color w:val="201F1E"/>
                      <w:sz w:val="20"/>
                      <w:szCs w:val="20"/>
                      <w:bdr w:val="none" w:sz="0" w:space="0" w:color="auto" w:frame="1"/>
                    </w:rPr>
                    <w:t>Lielāks par 6 procentpunktiem ik gadu</w:t>
                  </w:r>
                </w:p>
              </w:tc>
            </w:tr>
            <w:tr w:rsidR="005C34B4" w:rsidRPr="00161E25" w14:paraId="05BF2A3C" w14:textId="77777777" w:rsidTr="00540A30">
              <w:tc>
                <w:tcPr>
                  <w:tcW w:w="5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AABDDC1" w14:textId="77777777" w:rsidR="005C34B4" w:rsidRPr="00161E25" w:rsidRDefault="005C34B4" w:rsidP="001A7298">
                  <w:pPr>
                    <w:framePr w:hSpace="180" w:wrap="around" w:vAnchor="text" w:hAnchor="margin" w:y="106"/>
                    <w:spacing w:line="252" w:lineRule="auto"/>
                    <w:rPr>
                      <w:sz w:val="20"/>
                      <w:szCs w:val="20"/>
                    </w:rPr>
                  </w:pPr>
                  <w:r w:rsidRPr="00161E25">
                    <w:rPr>
                      <w:color w:val="201F1E"/>
                      <w:sz w:val="20"/>
                      <w:szCs w:val="20"/>
                      <w:bdr w:val="none" w:sz="0" w:space="0" w:color="auto" w:frame="1"/>
                    </w:rPr>
                    <w:t xml:space="preserve">3. </w:t>
                  </w:r>
                </w:p>
              </w:tc>
              <w:tc>
                <w:tcPr>
                  <w:tcW w:w="1319" w:type="dxa"/>
                  <w:tcBorders>
                    <w:top w:val="nil"/>
                    <w:left w:val="nil"/>
                    <w:bottom w:val="single" w:sz="8" w:space="0" w:color="auto"/>
                    <w:right w:val="single" w:sz="8" w:space="0" w:color="auto"/>
                  </w:tcBorders>
                  <w:shd w:val="clear" w:color="auto" w:fill="FFFFFF"/>
                  <w:vAlign w:val="center"/>
                  <w:hideMark/>
                </w:tcPr>
                <w:p w14:paraId="5E67311E" w14:textId="2E4B7B19" w:rsidR="005C34B4" w:rsidRPr="00161E25" w:rsidRDefault="005C34B4" w:rsidP="001A7298">
                  <w:pPr>
                    <w:framePr w:hSpace="180" w:wrap="around" w:vAnchor="text" w:hAnchor="margin" w:y="106"/>
                    <w:spacing w:line="252" w:lineRule="auto"/>
                    <w:rPr>
                      <w:sz w:val="20"/>
                      <w:szCs w:val="20"/>
                    </w:rPr>
                  </w:pPr>
                  <w:r w:rsidRPr="00161E25">
                    <w:rPr>
                      <w:sz w:val="20"/>
                      <w:szCs w:val="20"/>
                    </w:rPr>
                    <w:t>Palielin</w:t>
                  </w:r>
                  <w:r w:rsidR="0094773F">
                    <w:rPr>
                      <w:sz w:val="20"/>
                      <w:szCs w:val="20"/>
                    </w:rPr>
                    <w:t>ā</w:t>
                  </w:r>
                  <w:r w:rsidRPr="00161E25">
                    <w:rPr>
                      <w:sz w:val="20"/>
                      <w:szCs w:val="20"/>
                    </w:rPr>
                    <w:t>t legālajā tirgū darbojošos komersantu konkurētspēju</w:t>
                  </w:r>
                  <w:r w:rsidRPr="00161E25">
                    <w:rPr>
                      <w:color w:val="201F1E"/>
                      <w:sz w:val="20"/>
                      <w:szCs w:val="20"/>
                      <w:bdr w:val="none" w:sz="0" w:space="0" w:color="auto" w:frame="1"/>
                    </w:rPr>
                    <w:t xml:space="preserve"> </w:t>
                  </w:r>
                </w:p>
              </w:tc>
              <w:tc>
                <w:tcPr>
                  <w:tcW w:w="14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7D43D57" w14:textId="77777777" w:rsidR="005C34B4" w:rsidRPr="00161E25" w:rsidRDefault="005C34B4" w:rsidP="001A7298">
                  <w:pPr>
                    <w:framePr w:hSpace="180" w:wrap="around" w:vAnchor="text" w:hAnchor="margin" w:y="106"/>
                    <w:spacing w:line="252" w:lineRule="auto"/>
                    <w:rPr>
                      <w:sz w:val="20"/>
                      <w:szCs w:val="20"/>
                    </w:rPr>
                  </w:pPr>
                  <w:r w:rsidRPr="00161E25">
                    <w:rPr>
                      <w:color w:val="201F1E"/>
                      <w:sz w:val="20"/>
                      <w:szCs w:val="20"/>
                      <w:bdr w:val="none" w:sz="0" w:space="0" w:color="auto" w:frame="1"/>
                    </w:rPr>
                    <w:t xml:space="preserve">Augļu, ogu un dārzeņu ražotāju PVN maksātāju vidējais atalgojums uz vienu nodarbināto </w:t>
                  </w:r>
                </w:p>
              </w:tc>
              <w:tc>
                <w:tcPr>
                  <w:tcW w:w="1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4420C98" w14:textId="20887032" w:rsidR="005C34B4" w:rsidRPr="00161E25" w:rsidRDefault="005C34B4" w:rsidP="001A7298">
                  <w:pPr>
                    <w:framePr w:hSpace="180" w:wrap="around" w:vAnchor="text" w:hAnchor="margin" w:y="106"/>
                    <w:spacing w:line="252" w:lineRule="auto"/>
                    <w:rPr>
                      <w:sz w:val="20"/>
                      <w:szCs w:val="20"/>
                    </w:rPr>
                  </w:pPr>
                  <w:r w:rsidRPr="00161E25">
                    <w:rPr>
                      <w:color w:val="201F1E"/>
                      <w:sz w:val="20"/>
                      <w:szCs w:val="20"/>
                      <w:bdr w:val="none" w:sz="0" w:space="0" w:color="auto" w:frame="1"/>
                    </w:rPr>
                    <w:t>LAD</w:t>
                  </w:r>
                  <w:r>
                    <w:rPr>
                      <w:rStyle w:val="FootnoteReference"/>
                      <w:color w:val="201F1E"/>
                      <w:sz w:val="20"/>
                      <w:szCs w:val="20"/>
                      <w:bdr w:val="none" w:sz="0" w:space="0" w:color="auto" w:frame="1"/>
                    </w:rPr>
                    <w:footnoteReference w:id="9"/>
                  </w:r>
                  <w:r w:rsidRPr="00161E25">
                    <w:rPr>
                      <w:color w:val="201F1E"/>
                      <w:sz w:val="20"/>
                      <w:szCs w:val="20"/>
                      <w:bdr w:val="none" w:sz="0" w:space="0" w:color="auto" w:frame="1"/>
                    </w:rPr>
                    <w:t xml:space="preserve"> un VID dati</w:t>
                  </w:r>
                  <w:r>
                    <w:rPr>
                      <w:rStyle w:val="FootnoteReference"/>
                      <w:color w:val="201F1E"/>
                      <w:sz w:val="20"/>
                      <w:szCs w:val="20"/>
                      <w:bdr w:val="none" w:sz="0" w:space="0" w:color="auto" w:frame="1"/>
                    </w:rPr>
                    <w:footnoteReference w:id="10"/>
                  </w:r>
                  <w:r w:rsidRPr="00161E25">
                    <w:rPr>
                      <w:color w:val="201F1E"/>
                      <w:sz w:val="20"/>
                      <w:szCs w:val="20"/>
                      <w:bdr w:val="none" w:sz="0" w:space="0" w:color="auto" w:frame="1"/>
                    </w:rPr>
                    <w:t xml:space="preserve"> </w:t>
                  </w:r>
                </w:p>
              </w:tc>
              <w:tc>
                <w:tcPr>
                  <w:tcW w:w="14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4EA02D4" w14:textId="77777777" w:rsidR="005C34B4" w:rsidRPr="00161E25" w:rsidRDefault="005C34B4" w:rsidP="001A7298">
                  <w:pPr>
                    <w:framePr w:hSpace="180" w:wrap="around" w:vAnchor="text" w:hAnchor="margin" w:y="106"/>
                    <w:spacing w:line="252" w:lineRule="auto"/>
                    <w:rPr>
                      <w:sz w:val="20"/>
                      <w:szCs w:val="20"/>
                    </w:rPr>
                  </w:pPr>
                  <w:r w:rsidRPr="00161E25">
                    <w:rPr>
                      <w:color w:val="201F1E"/>
                      <w:sz w:val="20"/>
                      <w:szCs w:val="20"/>
                      <w:bdr w:val="none" w:sz="0" w:space="0" w:color="auto" w:frame="1"/>
                    </w:rPr>
                    <w:t>Gada pārmaiņas, %</w:t>
                  </w:r>
                  <w:r w:rsidRPr="00161E25">
                    <w:rPr>
                      <w:sz w:val="20"/>
                      <w:szCs w:val="20"/>
                    </w:rPr>
                    <w:t xml:space="preserve"> </w:t>
                  </w:r>
                </w:p>
              </w:tc>
              <w:tc>
                <w:tcPr>
                  <w:tcW w:w="1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07B502A" w14:textId="6558F911" w:rsidR="005C34B4" w:rsidRPr="00161E25" w:rsidRDefault="00A01CE0" w:rsidP="001A7298">
                  <w:pPr>
                    <w:framePr w:hSpace="180" w:wrap="around" w:vAnchor="text" w:hAnchor="margin" w:y="106"/>
                    <w:spacing w:line="252" w:lineRule="auto"/>
                    <w:rPr>
                      <w:sz w:val="20"/>
                      <w:szCs w:val="20"/>
                    </w:rPr>
                  </w:pPr>
                  <w:r>
                    <w:rPr>
                      <w:color w:val="201F1E"/>
                      <w:sz w:val="20"/>
                      <w:szCs w:val="20"/>
                      <w:bdr w:val="none" w:sz="0" w:space="0" w:color="auto" w:frame="1"/>
                    </w:rPr>
                    <w:t>Lielāk</w:t>
                  </w:r>
                  <w:r w:rsidR="005D2699" w:rsidRPr="005D2699">
                    <w:rPr>
                      <w:color w:val="201F1E"/>
                      <w:sz w:val="20"/>
                      <w:szCs w:val="20"/>
                      <w:bdr w:val="none" w:sz="0" w:space="0" w:color="auto" w:frame="1"/>
                    </w:rPr>
                    <w:t>s par 6</w:t>
                  </w:r>
                  <w:r w:rsidR="005D2699">
                    <w:rPr>
                      <w:color w:val="201F1E"/>
                      <w:sz w:val="20"/>
                      <w:szCs w:val="20"/>
                      <w:bdr w:val="none" w:sz="0" w:space="0" w:color="auto" w:frame="1"/>
                    </w:rPr>
                    <w:t xml:space="preserve"> procentiem</w:t>
                  </w:r>
                  <w:r w:rsidR="005D2699" w:rsidRPr="005D2699">
                    <w:rPr>
                      <w:color w:val="201F1E"/>
                      <w:sz w:val="20"/>
                      <w:szCs w:val="20"/>
                      <w:bdr w:val="none" w:sz="0" w:space="0" w:color="auto" w:frame="1"/>
                    </w:rPr>
                    <w:t xml:space="preserve"> ik gadu</w:t>
                  </w:r>
                </w:p>
              </w:tc>
            </w:tr>
            <w:tr w:rsidR="005C34B4" w:rsidRPr="00161E25" w14:paraId="5DA14D9B" w14:textId="77777777" w:rsidTr="00540A30">
              <w:tc>
                <w:tcPr>
                  <w:tcW w:w="5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1C40482" w14:textId="77777777" w:rsidR="005C34B4" w:rsidRPr="00161E25" w:rsidRDefault="005C34B4" w:rsidP="001A7298">
                  <w:pPr>
                    <w:framePr w:hSpace="180" w:wrap="around" w:vAnchor="text" w:hAnchor="margin" w:y="106"/>
                    <w:spacing w:line="252" w:lineRule="auto"/>
                    <w:rPr>
                      <w:sz w:val="20"/>
                      <w:szCs w:val="20"/>
                    </w:rPr>
                  </w:pPr>
                  <w:r w:rsidRPr="00161E25">
                    <w:rPr>
                      <w:color w:val="201F1E"/>
                      <w:sz w:val="20"/>
                      <w:szCs w:val="20"/>
                      <w:bdr w:val="none" w:sz="0" w:space="0" w:color="auto" w:frame="1"/>
                    </w:rPr>
                    <w:t>4.</w:t>
                  </w:r>
                  <w:r w:rsidRPr="00161E25">
                    <w:rPr>
                      <w:color w:val="201F1E"/>
                      <w:sz w:val="20"/>
                      <w:szCs w:val="20"/>
                    </w:rPr>
                    <w:t xml:space="preserve"> </w:t>
                  </w:r>
                </w:p>
              </w:tc>
              <w:tc>
                <w:tcPr>
                  <w:tcW w:w="1319" w:type="dxa"/>
                  <w:tcBorders>
                    <w:top w:val="nil"/>
                    <w:left w:val="nil"/>
                    <w:bottom w:val="single" w:sz="8" w:space="0" w:color="auto"/>
                    <w:right w:val="single" w:sz="8" w:space="0" w:color="auto"/>
                  </w:tcBorders>
                  <w:shd w:val="clear" w:color="auto" w:fill="FFFFFF"/>
                  <w:vAlign w:val="center"/>
                  <w:hideMark/>
                </w:tcPr>
                <w:p w14:paraId="27EDB85C" w14:textId="77777777" w:rsidR="005C34B4" w:rsidRPr="00161E25" w:rsidRDefault="005C34B4" w:rsidP="001A7298">
                  <w:pPr>
                    <w:framePr w:hSpace="180" w:wrap="around" w:vAnchor="text" w:hAnchor="margin" w:y="106"/>
                    <w:spacing w:line="252" w:lineRule="auto"/>
                    <w:rPr>
                      <w:sz w:val="20"/>
                      <w:szCs w:val="20"/>
                    </w:rPr>
                  </w:pPr>
                  <w:r w:rsidRPr="00161E25">
                    <w:rPr>
                      <w:sz w:val="20"/>
                      <w:szCs w:val="20"/>
                    </w:rPr>
                    <w:t>Mazināt ēnu ekonomiku</w:t>
                  </w:r>
                  <w:r w:rsidRPr="00161E25">
                    <w:rPr>
                      <w:color w:val="201F1E"/>
                      <w:sz w:val="20"/>
                      <w:szCs w:val="20"/>
                      <w:bdr w:val="none" w:sz="0" w:space="0" w:color="auto" w:frame="1"/>
                    </w:rPr>
                    <w:t xml:space="preserve"> </w:t>
                  </w:r>
                </w:p>
              </w:tc>
              <w:tc>
                <w:tcPr>
                  <w:tcW w:w="14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5C65FAF" w14:textId="77777777" w:rsidR="005C34B4" w:rsidRPr="00161E25" w:rsidRDefault="005C34B4" w:rsidP="001A7298">
                  <w:pPr>
                    <w:framePr w:hSpace="180" w:wrap="around" w:vAnchor="text" w:hAnchor="margin" w:y="106"/>
                    <w:spacing w:line="252" w:lineRule="auto"/>
                    <w:rPr>
                      <w:sz w:val="20"/>
                      <w:szCs w:val="20"/>
                    </w:rPr>
                  </w:pPr>
                  <w:r w:rsidRPr="00161E25">
                    <w:rPr>
                      <w:color w:val="201F1E"/>
                      <w:sz w:val="20"/>
                      <w:szCs w:val="20"/>
                      <w:bdr w:val="none" w:sz="0" w:space="0" w:color="auto" w:frame="1"/>
                    </w:rPr>
                    <w:t xml:space="preserve">Ēnu ekonomika </w:t>
                  </w:r>
                </w:p>
              </w:tc>
              <w:tc>
                <w:tcPr>
                  <w:tcW w:w="1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651BA9C" w14:textId="77777777" w:rsidR="005C34B4" w:rsidRPr="00161E25" w:rsidRDefault="005C34B4" w:rsidP="001A7298">
                  <w:pPr>
                    <w:framePr w:hSpace="180" w:wrap="around" w:vAnchor="text" w:hAnchor="margin" w:y="106"/>
                    <w:spacing w:line="252" w:lineRule="auto"/>
                    <w:rPr>
                      <w:sz w:val="20"/>
                      <w:szCs w:val="20"/>
                    </w:rPr>
                  </w:pPr>
                  <w:r w:rsidRPr="00161E25">
                    <w:rPr>
                      <w:color w:val="201F1E"/>
                      <w:sz w:val="20"/>
                      <w:szCs w:val="20"/>
                      <w:bdr w:val="none" w:sz="0" w:space="0" w:color="auto" w:frame="1"/>
                    </w:rPr>
                    <w:t xml:space="preserve">Novērtējums, analīze </w:t>
                  </w:r>
                </w:p>
              </w:tc>
              <w:tc>
                <w:tcPr>
                  <w:tcW w:w="14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87093B8" w14:textId="586ED433" w:rsidR="005C34B4" w:rsidRPr="00161E25" w:rsidRDefault="005C34B4" w:rsidP="001A7298">
                  <w:pPr>
                    <w:framePr w:hSpace="180" w:wrap="around" w:vAnchor="text" w:hAnchor="margin" w:y="106"/>
                    <w:spacing w:line="252" w:lineRule="auto"/>
                    <w:rPr>
                      <w:sz w:val="20"/>
                      <w:szCs w:val="20"/>
                    </w:rPr>
                  </w:pPr>
                  <w:r w:rsidRPr="00161E25">
                    <w:rPr>
                      <w:color w:val="201F1E"/>
                      <w:sz w:val="20"/>
                      <w:szCs w:val="20"/>
                      <w:bdr w:val="none" w:sz="0" w:space="0" w:color="auto" w:frame="1"/>
                    </w:rPr>
                    <w:t>PVN samazinātās 5</w:t>
                  </w:r>
                  <w:r w:rsidR="006A4E32">
                    <w:rPr>
                      <w:color w:val="201F1E"/>
                      <w:sz w:val="20"/>
                      <w:szCs w:val="20"/>
                      <w:bdr w:val="none" w:sz="0" w:space="0" w:color="auto" w:frame="1"/>
                    </w:rPr>
                    <w:t xml:space="preserve"> </w:t>
                  </w:r>
                  <w:r w:rsidR="000619B9">
                    <w:rPr>
                      <w:color w:val="201F1E"/>
                      <w:sz w:val="20"/>
                      <w:szCs w:val="20"/>
                      <w:bdr w:val="none" w:sz="0" w:space="0" w:color="auto" w:frame="1"/>
                    </w:rPr>
                    <w:t>procentu</w:t>
                  </w:r>
                  <w:r w:rsidRPr="00161E25">
                    <w:rPr>
                      <w:color w:val="201F1E"/>
                      <w:sz w:val="20"/>
                      <w:szCs w:val="20"/>
                      <w:bdr w:val="none" w:sz="0" w:space="0" w:color="auto" w:frame="1"/>
                    </w:rPr>
                    <w:t xml:space="preserve"> </w:t>
                  </w:r>
                  <w:r w:rsidRPr="00161E25">
                    <w:rPr>
                      <w:color w:val="201F1E"/>
                      <w:sz w:val="20"/>
                      <w:szCs w:val="20"/>
                      <w:bdr w:val="none" w:sz="0" w:space="0" w:color="auto" w:frame="1"/>
                    </w:rPr>
                    <w:lastRenderedPageBreak/>
                    <w:t xml:space="preserve">likmes ieviešanas ietekmi uz ēnu ekonomiku, sākot ar </w:t>
                  </w:r>
                  <w:proofErr w:type="gramStart"/>
                  <w:r w:rsidRPr="00161E25">
                    <w:rPr>
                      <w:color w:val="201F1E"/>
                      <w:sz w:val="20"/>
                      <w:szCs w:val="20"/>
                      <w:bdr w:val="none" w:sz="0" w:space="0" w:color="auto" w:frame="1"/>
                    </w:rPr>
                    <w:t>2018.gadu</w:t>
                  </w:r>
                  <w:proofErr w:type="gramEnd"/>
                  <w:r w:rsidRPr="00161E25">
                    <w:rPr>
                      <w:color w:val="201F1E"/>
                      <w:sz w:val="20"/>
                      <w:szCs w:val="20"/>
                      <w:bdr w:val="none" w:sz="0" w:space="0" w:color="auto" w:frame="1"/>
                    </w:rPr>
                    <w:t xml:space="preserve"> </w:t>
                  </w:r>
                </w:p>
              </w:tc>
              <w:tc>
                <w:tcPr>
                  <w:tcW w:w="1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1DFB14A" w14:textId="77777777" w:rsidR="005C34B4" w:rsidRPr="00161E25" w:rsidRDefault="005C34B4" w:rsidP="001A7298">
                  <w:pPr>
                    <w:framePr w:hSpace="180" w:wrap="around" w:vAnchor="text" w:hAnchor="margin" w:y="106"/>
                    <w:spacing w:line="252" w:lineRule="auto"/>
                    <w:rPr>
                      <w:sz w:val="20"/>
                      <w:szCs w:val="20"/>
                    </w:rPr>
                  </w:pPr>
                  <w:r w:rsidRPr="00161E25">
                    <w:rPr>
                      <w:color w:val="201F1E"/>
                      <w:sz w:val="20"/>
                      <w:szCs w:val="20"/>
                      <w:bdr w:val="none" w:sz="0" w:space="0" w:color="auto" w:frame="1"/>
                    </w:rPr>
                    <w:lastRenderedPageBreak/>
                    <w:t xml:space="preserve">Ēnu ekonomika mazinājusies ik gadu </w:t>
                  </w:r>
                </w:p>
              </w:tc>
            </w:tr>
          </w:tbl>
          <w:p w14:paraId="384BA89B" w14:textId="77777777" w:rsidR="003B0EC3" w:rsidRDefault="003B0EC3" w:rsidP="00B60DEF">
            <w:pPr>
              <w:autoSpaceDE w:val="0"/>
              <w:autoSpaceDN w:val="0"/>
              <w:adjustRightInd w:val="0"/>
              <w:ind w:right="132"/>
              <w:jc w:val="both"/>
            </w:pPr>
          </w:p>
          <w:p w14:paraId="2D703DF3" w14:textId="77777777" w:rsidR="00B60DEF" w:rsidRDefault="00B60DEF" w:rsidP="00D772CA">
            <w:pPr>
              <w:autoSpaceDE w:val="0"/>
              <w:autoSpaceDN w:val="0"/>
              <w:adjustRightInd w:val="0"/>
              <w:ind w:right="132"/>
              <w:jc w:val="both"/>
              <w:rPr>
                <w:rFonts w:eastAsia="Calibri"/>
                <w:szCs w:val="22"/>
                <w:highlight w:val="yellow"/>
                <w:lang w:eastAsia="en-US"/>
              </w:rPr>
            </w:pPr>
          </w:p>
          <w:p w14:paraId="4A074CCE" w14:textId="65979E2A" w:rsidR="009044F4" w:rsidRDefault="00516384" w:rsidP="00714AB5">
            <w:pPr>
              <w:autoSpaceDE w:val="0"/>
              <w:autoSpaceDN w:val="0"/>
              <w:adjustRightInd w:val="0"/>
              <w:ind w:right="132"/>
              <w:jc w:val="both"/>
              <w:rPr>
                <w:rFonts w:eastAsia="Calibri"/>
                <w:szCs w:val="22"/>
                <w:lang w:eastAsia="en-US"/>
              </w:rPr>
            </w:pPr>
            <w:r w:rsidRPr="006106CF">
              <w:rPr>
                <w:rFonts w:eastAsia="Calibri"/>
                <w:szCs w:val="22"/>
                <w:lang w:eastAsia="en-US"/>
              </w:rPr>
              <w:t>Tuvojoties noslēguma datumam</w:t>
            </w:r>
            <w:r w:rsidR="002E7393" w:rsidRPr="006106CF">
              <w:rPr>
                <w:rFonts w:eastAsia="Calibri"/>
                <w:szCs w:val="22"/>
                <w:lang w:eastAsia="en-US"/>
              </w:rPr>
              <w:t>,</w:t>
            </w:r>
            <w:r w:rsidRPr="006106CF">
              <w:rPr>
                <w:rFonts w:eastAsia="Calibri"/>
                <w:szCs w:val="22"/>
                <w:lang w:eastAsia="en-US"/>
              </w:rPr>
              <w:t xml:space="preserve"> </w:t>
            </w:r>
            <w:r w:rsidR="009633AA" w:rsidRPr="006106CF">
              <w:rPr>
                <w:rFonts w:eastAsia="Calibri"/>
                <w:szCs w:val="22"/>
                <w:lang w:eastAsia="en-US"/>
              </w:rPr>
              <w:t>Zemkopības ministrijai</w:t>
            </w:r>
            <w:r w:rsidRPr="006106CF">
              <w:rPr>
                <w:rFonts w:eastAsia="Calibri"/>
                <w:szCs w:val="22"/>
                <w:lang w:eastAsia="en-US"/>
              </w:rPr>
              <w:t xml:space="preserve"> </w:t>
            </w:r>
            <w:r w:rsidR="00896CC2" w:rsidRPr="006106CF">
              <w:rPr>
                <w:rFonts w:eastAsia="Calibri"/>
                <w:szCs w:val="22"/>
                <w:lang w:eastAsia="en-US"/>
              </w:rPr>
              <w:t>būtu</w:t>
            </w:r>
            <w:r w:rsidRPr="006106CF">
              <w:rPr>
                <w:rFonts w:eastAsia="Calibri"/>
                <w:szCs w:val="22"/>
                <w:lang w:eastAsia="en-US"/>
              </w:rPr>
              <w:t xml:space="preserve"> </w:t>
            </w:r>
            <w:r w:rsidR="00896CC2" w:rsidRPr="006106CF">
              <w:rPr>
                <w:rFonts w:eastAsia="Calibri"/>
                <w:szCs w:val="22"/>
                <w:lang w:eastAsia="en-US"/>
              </w:rPr>
              <w:t>jāvērtē</w:t>
            </w:r>
            <w:r w:rsidR="00301EC6" w:rsidRPr="006106CF">
              <w:rPr>
                <w:rFonts w:eastAsia="Calibri"/>
                <w:szCs w:val="22"/>
                <w:lang w:eastAsia="en-US"/>
              </w:rPr>
              <w:t xml:space="preserve"> </w:t>
            </w:r>
            <w:r w:rsidR="002E7393" w:rsidRPr="006106CF">
              <w:rPr>
                <w:rFonts w:eastAsia="Calibri"/>
                <w:szCs w:val="22"/>
                <w:lang w:eastAsia="en-US"/>
              </w:rPr>
              <w:t>izvirzīto mērķu sasniegšana</w:t>
            </w:r>
            <w:r w:rsidR="009633AA" w:rsidRPr="006106CF">
              <w:rPr>
                <w:rFonts w:eastAsia="Calibri"/>
                <w:szCs w:val="22"/>
                <w:lang w:eastAsia="en-US"/>
              </w:rPr>
              <w:t>,</w:t>
            </w:r>
            <w:proofErr w:type="gramStart"/>
            <w:r w:rsidR="00034518" w:rsidRPr="006106CF">
              <w:rPr>
                <w:rFonts w:eastAsia="Calibri"/>
                <w:szCs w:val="22"/>
                <w:lang w:eastAsia="en-US"/>
              </w:rPr>
              <w:t xml:space="preserve"> </w:t>
            </w:r>
            <w:r w:rsidR="009633AA" w:rsidRPr="006106CF">
              <w:t xml:space="preserve"> </w:t>
            </w:r>
            <w:proofErr w:type="gramEnd"/>
            <w:r w:rsidR="009633AA" w:rsidRPr="006106CF">
              <w:rPr>
                <w:rFonts w:eastAsia="Calibri"/>
                <w:szCs w:val="22"/>
                <w:lang w:eastAsia="en-US"/>
              </w:rPr>
              <w:t>vērtējot sasniedzamos rezultatīvos rādītājus</w:t>
            </w:r>
            <w:r w:rsidR="00896CC2" w:rsidRPr="006106CF">
              <w:rPr>
                <w:rFonts w:eastAsia="Calibri"/>
                <w:szCs w:val="22"/>
                <w:lang w:eastAsia="en-US"/>
              </w:rPr>
              <w:t>,</w:t>
            </w:r>
            <w:r w:rsidR="009044F4" w:rsidRPr="006106CF">
              <w:rPr>
                <w:rFonts w:eastAsia="Calibri"/>
                <w:szCs w:val="22"/>
                <w:lang w:eastAsia="en-US"/>
              </w:rPr>
              <w:t xml:space="preserve"> </w:t>
            </w:r>
            <w:r w:rsidR="0082627A" w:rsidRPr="006106CF">
              <w:rPr>
                <w:rFonts w:eastAsia="Calibri"/>
                <w:szCs w:val="22"/>
                <w:lang w:eastAsia="en-US"/>
              </w:rPr>
              <w:t>sakarā ar</w:t>
            </w:r>
            <w:r w:rsidR="009044F4" w:rsidRPr="006106CF">
              <w:rPr>
                <w:rFonts w:eastAsia="Calibri"/>
                <w:szCs w:val="22"/>
                <w:lang w:eastAsia="en-US"/>
              </w:rPr>
              <w:t xml:space="preserve"> PVN samazinātās likmes piecu procentu apmērā piemērošanu</w:t>
            </w:r>
            <w:r w:rsidR="009633AA" w:rsidRPr="006106CF">
              <w:rPr>
                <w:rFonts w:eastAsia="Calibri"/>
                <w:szCs w:val="22"/>
                <w:lang w:eastAsia="en-US"/>
              </w:rPr>
              <w:t>.</w:t>
            </w:r>
            <w:r w:rsidR="009633AA" w:rsidRPr="009633AA">
              <w:rPr>
                <w:rFonts w:eastAsia="Calibri"/>
                <w:szCs w:val="22"/>
                <w:lang w:eastAsia="en-US"/>
              </w:rPr>
              <w:t xml:space="preserve"> </w:t>
            </w:r>
          </w:p>
          <w:p w14:paraId="74565D45" w14:textId="151A628A" w:rsidR="008975B3" w:rsidRDefault="0086503D" w:rsidP="00714AB5">
            <w:pPr>
              <w:autoSpaceDE w:val="0"/>
              <w:autoSpaceDN w:val="0"/>
              <w:adjustRightInd w:val="0"/>
              <w:ind w:right="132"/>
              <w:jc w:val="both"/>
            </w:pPr>
            <w:r w:rsidRPr="000C4C70">
              <w:t>Likumprojektā ir veikt</w:t>
            </w:r>
            <w:r w:rsidR="00F26E31">
              <w:t>s</w:t>
            </w:r>
            <w:r w:rsidRPr="000C4C70">
              <w:t xml:space="preserve"> arī tehnisk</w:t>
            </w:r>
            <w:r w:rsidR="00F26E31">
              <w:t>s</w:t>
            </w:r>
            <w:r w:rsidRPr="000C4C70">
              <w:t xml:space="preserve"> precizējum</w:t>
            </w:r>
            <w:r w:rsidR="00F26E31">
              <w:t>s</w:t>
            </w:r>
            <w:r w:rsidR="00AA2ACC">
              <w:t xml:space="preserve">, </w:t>
            </w:r>
            <w:r>
              <w:t>l</w:t>
            </w:r>
            <w:r w:rsidR="008975B3">
              <w:t xml:space="preserve">ai vienādotu terminoloģiju, kas lietota </w:t>
            </w:r>
            <w:r w:rsidR="001B1BAF">
              <w:t>D</w:t>
            </w:r>
            <w:r w:rsidR="008975B3">
              <w:t>irekt</w:t>
            </w:r>
            <w:r w:rsidR="00CE09FF">
              <w:t>īvas</w:t>
            </w:r>
            <w:r w:rsidR="001B1BAF">
              <w:t xml:space="preserve"> </w:t>
            </w:r>
            <w:r w:rsidR="00310DDA">
              <w:t>2006</w:t>
            </w:r>
            <w:r w:rsidR="001B1BAF">
              <w:t>/</w:t>
            </w:r>
            <w:r w:rsidR="00310DDA">
              <w:t>112</w:t>
            </w:r>
            <w:r w:rsidR="001B1BAF">
              <w:t>/EK</w:t>
            </w:r>
            <w:r w:rsidR="008975B3">
              <w:t xml:space="preserve"> </w:t>
            </w:r>
            <w:proofErr w:type="gramStart"/>
            <w:r w:rsidR="00CE09FF">
              <w:t>147.pantā</w:t>
            </w:r>
            <w:proofErr w:type="gramEnd"/>
            <w:r w:rsidR="00C54F0C">
              <w:t xml:space="preserve"> un PVN likumā</w:t>
            </w:r>
            <w:r w:rsidR="00F26E31">
              <w:t>, tādējādi novēršot interpretācijas iespējas. Likumprojekts paredz, ka</w:t>
            </w:r>
            <w:r w:rsidR="00C35424">
              <w:t xml:space="preserve"> tiek veikti precizējumi </w:t>
            </w:r>
            <w:r w:rsidR="001B1BAF">
              <w:t xml:space="preserve">PVN likuma </w:t>
            </w:r>
            <w:proofErr w:type="gramStart"/>
            <w:r w:rsidR="001B1BAF">
              <w:t>49.pantā</w:t>
            </w:r>
            <w:proofErr w:type="gramEnd"/>
            <w:r w:rsidR="006D3657">
              <w:t>,</w:t>
            </w:r>
            <w:r w:rsidR="00CE09FF">
              <w:t xml:space="preserve"> nosakot</w:t>
            </w:r>
            <w:r w:rsidR="00F26E31">
              <w:t>,</w:t>
            </w:r>
            <w:r w:rsidR="00CE09FF">
              <w:t xml:space="preserve"> ka </w:t>
            </w:r>
            <w:r w:rsidR="00C73A59">
              <w:t xml:space="preserve"> PVN</w:t>
            </w:r>
            <w:r w:rsidR="00C73A59" w:rsidRPr="00C73A59">
              <w:t xml:space="preserve"> 0 procentu likmi piemēro preču piegādēm, ja trešās valsts vai trešās teritorijas fiziskā persona, </w:t>
            </w:r>
            <w:r w:rsidR="00C73A59" w:rsidRPr="004E4E90">
              <w:t>kuras pastāvīgā adrese vai parastā dzīvesvieta nav Eiropas Savienības teritorijā</w:t>
            </w:r>
            <w:r w:rsidR="00C73A59">
              <w:t>,</w:t>
            </w:r>
            <w:r w:rsidR="00C73A59" w:rsidRPr="00C73A59">
              <w:t xml:space="preserve"> </w:t>
            </w:r>
            <w:r w:rsidR="00C73A59">
              <w:t>i</w:t>
            </w:r>
            <w:r w:rsidR="00C73A59" w:rsidRPr="00C73A59">
              <w:t>zved iekšzemē iegādātās</w:t>
            </w:r>
            <w:r w:rsidR="0022457E">
              <w:t xml:space="preserve"> preces</w:t>
            </w:r>
            <w:r w:rsidR="00C73A59" w:rsidRPr="00C73A59">
              <w:t xml:space="preserve"> </w:t>
            </w:r>
            <w:r w:rsidR="00544DB2">
              <w:t>ārpus</w:t>
            </w:r>
            <w:r w:rsidR="00C73A59" w:rsidRPr="00C73A59">
              <w:t xml:space="preserve"> Eiropas Savienības teritorijas.</w:t>
            </w:r>
          </w:p>
          <w:p w14:paraId="2AAB87C0" w14:textId="66836B87" w:rsidR="007E5D39" w:rsidRDefault="007E5D39" w:rsidP="00DD2EC2">
            <w:pPr>
              <w:autoSpaceDE w:val="0"/>
              <w:autoSpaceDN w:val="0"/>
              <w:adjustRightInd w:val="0"/>
              <w:ind w:left="15" w:right="132" w:firstLine="269"/>
              <w:jc w:val="both"/>
            </w:pPr>
            <w:r>
              <w:t xml:space="preserve">Tāpat PVN likuma </w:t>
            </w:r>
            <w:proofErr w:type="gramStart"/>
            <w:r>
              <w:t>61.panta</w:t>
            </w:r>
            <w:proofErr w:type="gramEnd"/>
            <w:r>
              <w:t xml:space="preserve"> ceturt</w:t>
            </w:r>
            <w:r w:rsidR="00DD2EC2">
              <w:t>ajā daļā tika precizētā atsauce uz likuma pantu.</w:t>
            </w:r>
          </w:p>
          <w:p w14:paraId="5A8EE78E" w14:textId="77777777" w:rsidR="005F1A12" w:rsidRDefault="005F1A12" w:rsidP="00AA2ACC">
            <w:pPr>
              <w:autoSpaceDE w:val="0"/>
              <w:autoSpaceDN w:val="0"/>
              <w:adjustRightInd w:val="0"/>
              <w:ind w:left="58" w:right="132" w:firstLine="283"/>
              <w:jc w:val="both"/>
            </w:pPr>
          </w:p>
          <w:p w14:paraId="77CBF69F" w14:textId="4B5D7853" w:rsidR="00AA2ACC" w:rsidRPr="000C4C70" w:rsidRDefault="00AA2ACC" w:rsidP="0004090D">
            <w:pPr>
              <w:autoSpaceDE w:val="0"/>
              <w:autoSpaceDN w:val="0"/>
              <w:adjustRightInd w:val="0"/>
              <w:ind w:left="58" w:right="132" w:firstLine="283"/>
              <w:jc w:val="both"/>
            </w:pPr>
            <w:r w:rsidRPr="00267F31">
              <w:t xml:space="preserve">Likumprojekta </w:t>
            </w:r>
            <w:r w:rsidRPr="00267F31">
              <w:rPr>
                <w:iCs/>
                <w:lang w:eastAsia="en-US"/>
              </w:rPr>
              <w:t>mērķis ir</w:t>
            </w:r>
            <w:r>
              <w:rPr>
                <w:iCs/>
                <w:lang w:eastAsia="en-US"/>
              </w:rPr>
              <w:t xml:space="preserve"> precizēt </w:t>
            </w:r>
            <w:r w:rsidR="00DD2EC2">
              <w:rPr>
                <w:iCs/>
                <w:lang w:eastAsia="en-US"/>
              </w:rPr>
              <w:t>PVN</w:t>
            </w:r>
            <w:r>
              <w:rPr>
                <w:iCs/>
                <w:lang w:eastAsia="en-US"/>
              </w:rPr>
              <w:t xml:space="preserve"> regulējumu, lai vienkāršotu PVN piemērošanu,</w:t>
            </w:r>
            <w:proofErr w:type="gramStart"/>
            <w:r>
              <w:rPr>
                <w:iCs/>
                <w:lang w:eastAsia="en-US"/>
              </w:rPr>
              <w:t xml:space="preserve">  </w:t>
            </w:r>
            <w:proofErr w:type="gramEnd"/>
            <w:r>
              <w:rPr>
                <w:iCs/>
                <w:lang w:eastAsia="en-US"/>
              </w:rPr>
              <w:t>samazinātu administratīvo slogu un izmaksas, novērstu interpretācijas iespējas, saskaņotu PVN regulējumu ar citos normatīvajos aktos pieņemtu regulējumu</w:t>
            </w:r>
            <w:r w:rsidR="00E05994">
              <w:rPr>
                <w:iCs/>
                <w:lang w:eastAsia="en-US"/>
              </w:rPr>
              <w:t>,</w:t>
            </w:r>
            <w:r>
              <w:rPr>
                <w:iCs/>
                <w:lang w:eastAsia="en-US"/>
              </w:rPr>
              <w:t xml:space="preserve"> veicinātu PVN sistēmas darbību, atgriežot nodokļu maksātājiem pārmaksāto PVN </w:t>
            </w:r>
            <w:r w:rsidRPr="006106CF">
              <w:rPr>
                <w:iCs/>
                <w:lang w:eastAsia="en-US"/>
              </w:rPr>
              <w:t>summu</w:t>
            </w:r>
            <w:r w:rsidR="00C637DF" w:rsidRPr="006106CF">
              <w:rPr>
                <w:iCs/>
                <w:lang w:eastAsia="en-US"/>
              </w:rPr>
              <w:t xml:space="preserve"> un</w:t>
            </w:r>
            <w:r w:rsidR="00945856" w:rsidRPr="006106CF">
              <w:rPr>
                <w:iCs/>
                <w:lang w:eastAsia="en-US"/>
              </w:rPr>
              <w:t>,</w:t>
            </w:r>
            <w:r w:rsidR="00C637DF" w:rsidRPr="006106CF">
              <w:rPr>
                <w:iCs/>
                <w:lang w:eastAsia="en-US"/>
              </w:rPr>
              <w:t xml:space="preserve"> saglabā</w:t>
            </w:r>
            <w:r w:rsidR="00945856" w:rsidRPr="006106CF">
              <w:rPr>
                <w:iCs/>
                <w:lang w:eastAsia="en-US"/>
              </w:rPr>
              <w:t>jot</w:t>
            </w:r>
            <w:r w:rsidR="00E05994" w:rsidRPr="006106CF">
              <w:rPr>
                <w:iCs/>
                <w:lang w:eastAsia="en-US"/>
              </w:rPr>
              <w:t xml:space="preserve"> līdz 2023.gada 31.decembrim PVN samazinātās likmes </w:t>
            </w:r>
            <w:r w:rsidR="00C637DF" w:rsidRPr="006106CF">
              <w:rPr>
                <w:iCs/>
                <w:lang w:eastAsia="en-US"/>
              </w:rPr>
              <w:t>piecu</w:t>
            </w:r>
            <w:r w:rsidR="00E05994" w:rsidRPr="006106CF">
              <w:rPr>
                <w:iCs/>
                <w:lang w:eastAsia="en-US"/>
              </w:rPr>
              <w:t xml:space="preserve"> procentu apmērā piemērošanu</w:t>
            </w:r>
            <w:r w:rsidR="0051514A" w:rsidRPr="006106CF">
              <w:rPr>
                <w:iCs/>
                <w:lang w:eastAsia="en-US"/>
              </w:rPr>
              <w:t>,</w:t>
            </w:r>
            <w:r w:rsidR="0051514A" w:rsidRPr="006106CF">
              <w:t xml:space="preserve"> veicināt augļkopības un dārzeņkopības nozaru attīstību</w:t>
            </w:r>
            <w:r w:rsidR="0004090D" w:rsidRPr="006106CF">
              <w:t>,</w:t>
            </w:r>
            <w:r w:rsidR="0051514A" w:rsidRPr="006106CF">
              <w:t xml:space="preserve"> mazin</w:t>
            </w:r>
            <w:r w:rsidR="0004090D" w:rsidRPr="006106CF">
              <w:t>ā</w:t>
            </w:r>
            <w:r w:rsidR="0051514A" w:rsidRPr="006106CF">
              <w:t>t ēnu ekonomiku</w:t>
            </w:r>
            <w:r w:rsidR="0004090D" w:rsidRPr="006106CF">
              <w:t>,</w:t>
            </w:r>
            <w:r w:rsidR="0051514A" w:rsidRPr="006106CF">
              <w:t xml:space="preserve">  palielin</w:t>
            </w:r>
            <w:r w:rsidR="0004090D" w:rsidRPr="006106CF">
              <w:t>ā</w:t>
            </w:r>
            <w:r w:rsidR="0051514A" w:rsidRPr="006106CF">
              <w:t>t legālajā</w:t>
            </w:r>
            <w:r w:rsidR="0051514A">
              <w:t xml:space="preserve"> tirgū darbojošo</w:t>
            </w:r>
            <w:r w:rsidR="0004090D">
              <w:t xml:space="preserve">s </w:t>
            </w:r>
            <w:r w:rsidR="0051514A">
              <w:t>komersantu konkurētspēju</w:t>
            </w:r>
            <w:r w:rsidR="0004090D">
              <w:t>,</w:t>
            </w:r>
            <w:r w:rsidR="0051514A">
              <w:t xml:space="preserve"> </w:t>
            </w:r>
            <w:r w:rsidR="0004090D">
              <w:t xml:space="preserve"> </w:t>
            </w:r>
            <w:r w:rsidR="0004090D" w:rsidRPr="0004090D">
              <w:t>kā arī veicināt</w:t>
            </w:r>
            <w:r w:rsidR="0004090D" w:rsidRPr="0004090D" w:rsidDel="0004090D">
              <w:t xml:space="preserve"> </w:t>
            </w:r>
            <w:r w:rsidR="0051514A">
              <w:t xml:space="preserve"> svaigu augļu, ogu un dārzeņu patēriņu</w:t>
            </w:r>
            <w:r w:rsidRPr="00D553AE">
              <w:rPr>
                <w:iCs/>
                <w:lang w:eastAsia="en-US"/>
              </w:rPr>
              <w:t>.</w:t>
            </w:r>
            <w:r>
              <w:rPr>
                <w:iCs/>
                <w:lang w:eastAsia="en-US"/>
              </w:rPr>
              <w:t xml:space="preserve"> </w:t>
            </w:r>
          </w:p>
        </w:tc>
      </w:tr>
      <w:tr w:rsidR="000C4C70" w:rsidRPr="000C4C70" w14:paraId="37154C7E" w14:textId="77777777" w:rsidTr="002E62DC">
        <w:trPr>
          <w:cantSplit/>
        </w:trPr>
        <w:tc>
          <w:tcPr>
            <w:tcW w:w="350" w:type="pct"/>
            <w:hideMark/>
          </w:tcPr>
          <w:p w14:paraId="1BEBCAF6" w14:textId="2513C068" w:rsidR="0016477B" w:rsidRPr="000C4C70" w:rsidRDefault="0016477B" w:rsidP="0016477B">
            <w:pPr>
              <w:jc w:val="center"/>
            </w:pPr>
            <w:r w:rsidRPr="000C4C70">
              <w:lastRenderedPageBreak/>
              <w:t>3.</w:t>
            </w:r>
          </w:p>
        </w:tc>
        <w:tc>
          <w:tcPr>
            <w:tcW w:w="999" w:type="pct"/>
            <w:hideMark/>
          </w:tcPr>
          <w:p w14:paraId="3FD5FFA8" w14:textId="77777777" w:rsidR="0016477B" w:rsidRPr="000C4C70" w:rsidRDefault="0016477B" w:rsidP="0016477B">
            <w:r w:rsidRPr="000C4C70">
              <w:t>Projekta izstrādē iesaistītās institūcijas un publiskas personas kapitālsabiedrības</w:t>
            </w:r>
          </w:p>
        </w:tc>
        <w:tc>
          <w:tcPr>
            <w:tcW w:w="3651" w:type="pct"/>
            <w:hideMark/>
          </w:tcPr>
          <w:p w14:paraId="0FBDA407" w14:textId="77777777" w:rsidR="0016477B" w:rsidRPr="000C4C70" w:rsidRDefault="0016477B" w:rsidP="0016477B">
            <w:r w:rsidRPr="000C4C70">
              <w:t xml:space="preserve">Projekta izstrādē </w:t>
            </w:r>
            <w:proofErr w:type="gramStart"/>
            <w:r w:rsidRPr="000C4C70">
              <w:t>ir iesaistīta Finanšu ministrija un VID</w:t>
            </w:r>
            <w:proofErr w:type="gramEnd"/>
            <w:r w:rsidRPr="000C4C70">
              <w:t>.</w:t>
            </w:r>
          </w:p>
          <w:p w14:paraId="794A6BC5" w14:textId="77777777" w:rsidR="0016477B" w:rsidRPr="000C4C70" w:rsidRDefault="0016477B" w:rsidP="0016477B"/>
        </w:tc>
      </w:tr>
      <w:tr w:rsidR="000C4C70" w:rsidRPr="000C4C70" w14:paraId="4732932E" w14:textId="77777777" w:rsidTr="002E62DC">
        <w:trPr>
          <w:cantSplit/>
        </w:trPr>
        <w:tc>
          <w:tcPr>
            <w:tcW w:w="350" w:type="pct"/>
            <w:hideMark/>
          </w:tcPr>
          <w:p w14:paraId="47245537" w14:textId="77777777" w:rsidR="0016477B" w:rsidRPr="000C4C70" w:rsidRDefault="0016477B" w:rsidP="0016477B">
            <w:pPr>
              <w:jc w:val="center"/>
            </w:pPr>
            <w:r w:rsidRPr="000C4C70">
              <w:t>4.</w:t>
            </w:r>
          </w:p>
        </w:tc>
        <w:tc>
          <w:tcPr>
            <w:tcW w:w="999" w:type="pct"/>
            <w:hideMark/>
          </w:tcPr>
          <w:p w14:paraId="57E5F7D8" w14:textId="77777777" w:rsidR="0016477B" w:rsidRPr="000C4C70" w:rsidRDefault="0016477B" w:rsidP="0016477B">
            <w:r w:rsidRPr="000C4C70">
              <w:t>Cita informācija</w:t>
            </w:r>
          </w:p>
        </w:tc>
        <w:tc>
          <w:tcPr>
            <w:tcW w:w="3651" w:type="pct"/>
            <w:hideMark/>
          </w:tcPr>
          <w:p w14:paraId="2C6203A5" w14:textId="37F0A149" w:rsidR="0016477B" w:rsidRPr="000C4C70" w:rsidRDefault="00706415" w:rsidP="00706415">
            <w:r w:rsidRPr="000C4C70">
              <w:t>Nav</w:t>
            </w:r>
          </w:p>
        </w:tc>
      </w:tr>
    </w:tbl>
    <w:p w14:paraId="2EA7828D" w14:textId="2F2B929C" w:rsidR="00706415" w:rsidRPr="000C4C70" w:rsidRDefault="00706415" w:rsidP="00227499"/>
    <w:tbl>
      <w:tblPr>
        <w:tblpPr w:leftFromText="180" w:rightFromText="180" w:vertAnchor="text" w:horzAnchor="margin" w:tblpY="119"/>
        <w:tblW w:w="50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1"/>
        <w:gridCol w:w="1706"/>
        <w:gridCol w:w="7085"/>
      </w:tblGrid>
      <w:tr w:rsidR="000C4C70" w:rsidRPr="000C4C70" w14:paraId="7D67EFB9" w14:textId="77777777" w:rsidTr="002E62DC">
        <w:trPr>
          <w:cantSplit/>
        </w:trPr>
        <w:tc>
          <w:tcPr>
            <w:tcW w:w="5000" w:type="pct"/>
            <w:gridSpan w:val="3"/>
            <w:vAlign w:val="center"/>
            <w:hideMark/>
          </w:tcPr>
          <w:p w14:paraId="22284190" w14:textId="77777777" w:rsidR="00706415" w:rsidRPr="000C4C70" w:rsidRDefault="00706415" w:rsidP="00AD20D8">
            <w:pPr>
              <w:jc w:val="center"/>
              <w:rPr>
                <w:b/>
                <w:bCs/>
              </w:rPr>
            </w:pPr>
            <w:r w:rsidRPr="000C4C70">
              <w:rPr>
                <w:b/>
                <w:bCs/>
              </w:rPr>
              <w:t>II. Tiesību akta projekta ietekme uz sabiedrību, tautsaimniecības attīstību un administratīvo slogu</w:t>
            </w:r>
          </w:p>
        </w:tc>
      </w:tr>
      <w:tr w:rsidR="000C4C70" w:rsidRPr="000C4C70" w14:paraId="4100E6C0" w14:textId="77777777" w:rsidTr="00AD20D8">
        <w:trPr>
          <w:cantSplit/>
        </w:trPr>
        <w:tc>
          <w:tcPr>
            <w:tcW w:w="300" w:type="pct"/>
            <w:hideMark/>
          </w:tcPr>
          <w:p w14:paraId="1764982D" w14:textId="77777777" w:rsidR="00706415" w:rsidRPr="000C4C70" w:rsidRDefault="00706415" w:rsidP="00706415">
            <w:pPr>
              <w:jc w:val="center"/>
            </w:pPr>
            <w:r w:rsidRPr="000C4C70">
              <w:t>1.</w:t>
            </w:r>
          </w:p>
        </w:tc>
        <w:tc>
          <w:tcPr>
            <w:tcW w:w="912" w:type="pct"/>
            <w:hideMark/>
          </w:tcPr>
          <w:p w14:paraId="092EB584" w14:textId="77777777" w:rsidR="00706415" w:rsidRPr="000C4C70" w:rsidRDefault="00706415" w:rsidP="00706415">
            <w:r w:rsidRPr="000C4C70">
              <w:t>Sabiedrības mērķgrupas, kuras tiesiskais regulējums ietekmē</w:t>
            </w:r>
            <w:proofErr w:type="gramStart"/>
            <w:r w:rsidRPr="000C4C70">
              <w:t xml:space="preserve"> vai varētu ietekmēt</w:t>
            </w:r>
            <w:proofErr w:type="gramEnd"/>
          </w:p>
        </w:tc>
        <w:tc>
          <w:tcPr>
            <w:tcW w:w="3788" w:type="pct"/>
            <w:hideMark/>
          </w:tcPr>
          <w:p w14:paraId="5FF64126" w14:textId="77777777" w:rsidR="00706415" w:rsidRPr="00054063" w:rsidRDefault="00706415" w:rsidP="00706415">
            <w:pPr>
              <w:ind w:left="58"/>
              <w:jc w:val="both"/>
            </w:pPr>
            <w:r w:rsidRPr="00054063">
              <w:t>Likumprojekta tiesiskais regulējums skar:</w:t>
            </w:r>
          </w:p>
          <w:p w14:paraId="1AF11C67" w14:textId="64430004" w:rsidR="005846FF" w:rsidRPr="00054063" w:rsidRDefault="005846FF" w:rsidP="0024766E">
            <w:pPr>
              <w:pStyle w:val="ListParagraph"/>
              <w:numPr>
                <w:ilvl w:val="0"/>
                <w:numId w:val="9"/>
              </w:numPr>
              <w:ind w:right="117"/>
              <w:jc w:val="both"/>
            </w:pPr>
            <w:r w:rsidRPr="00054063">
              <w:t xml:space="preserve">reģistrētus PVN maksātājus, </w:t>
            </w:r>
            <w:r w:rsidR="00E807DF">
              <w:t>kuri PVN deklarācijā ir uzrādījuši pārmaksāto</w:t>
            </w:r>
            <w:r w:rsidRPr="00054063">
              <w:t xml:space="preserve"> PVN </w:t>
            </w:r>
            <w:r w:rsidR="00E807DF">
              <w:t>summu</w:t>
            </w:r>
            <w:r w:rsidRPr="00054063">
              <w:t>;</w:t>
            </w:r>
          </w:p>
          <w:p w14:paraId="0159FA0F" w14:textId="1ADACBB9" w:rsidR="005846FF" w:rsidRPr="00054063" w:rsidRDefault="005846FF" w:rsidP="0024766E">
            <w:pPr>
              <w:pStyle w:val="ListParagraph"/>
              <w:numPr>
                <w:ilvl w:val="0"/>
                <w:numId w:val="9"/>
              </w:numPr>
              <w:ind w:right="117"/>
              <w:jc w:val="both"/>
            </w:pPr>
            <w:r w:rsidRPr="00054063">
              <w:t>no VID PVN maksātāju reģistra izslēgtus PVN maksātājus, kuriem ir izveidojusies PVN pārmaksa;</w:t>
            </w:r>
          </w:p>
          <w:p w14:paraId="6A4A2C51" w14:textId="45CA7D95" w:rsidR="002C3563" w:rsidRPr="002C3563" w:rsidRDefault="0086503D" w:rsidP="0024766E">
            <w:pPr>
              <w:pStyle w:val="ListParagraph"/>
              <w:numPr>
                <w:ilvl w:val="0"/>
                <w:numId w:val="9"/>
              </w:numPr>
              <w:ind w:right="117"/>
              <w:jc w:val="both"/>
            </w:pPr>
            <w:r>
              <w:t>PVN</w:t>
            </w:r>
            <w:r w:rsidR="002C3563" w:rsidRPr="002C3563">
              <w:t xml:space="preserve"> maksātājus, kas vēlas reģistrēties VID PVN maksātāju reģistrā;</w:t>
            </w:r>
          </w:p>
          <w:p w14:paraId="600579F3" w14:textId="19EF12E9" w:rsidR="0086503D" w:rsidRDefault="002C3563" w:rsidP="0024766E">
            <w:pPr>
              <w:pStyle w:val="ListParagraph"/>
              <w:numPr>
                <w:ilvl w:val="0"/>
                <w:numId w:val="9"/>
              </w:numPr>
              <w:ind w:right="117"/>
              <w:jc w:val="both"/>
            </w:pPr>
            <w:r w:rsidRPr="002C3563">
              <w:t>reģistrētus PVN maksātājus, kas izslēdzami no VID PVN maksātāju reģistra</w:t>
            </w:r>
            <w:r w:rsidR="00706415" w:rsidRPr="002C3563">
              <w:t>;</w:t>
            </w:r>
            <w:r w:rsidR="00B66210">
              <w:t xml:space="preserve"> </w:t>
            </w:r>
          </w:p>
          <w:p w14:paraId="6B9872AB" w14:textId="02BE88D3" w:rsidR="0086503D" w:rsidRDefault="0086503D" w:rsidP="0024766E">
            <w:pPr>
              <w:pStyle w:val="ListParagraph"/>
              <w:numPr>
                <w:ilvl w:val="0"/>
                <w:numId w:val="9"/>
              </w:numPr>
              <w:ind w:right="117"/>
              <w:jc w:val="both"/>
            </w:pPr>
            <w:r>
              <w:t>reģistrētus PVN maksātājus, kas Iepakojuma likuma izpratnē ir depozīta iepakotāji;</w:t>
            </w:r>
          </w:p>
          <w:p w14:paraId="3E3EEB3C" w14:textId="79647563" w:rsidR="006B3DEF" w:rsidRPr="00565772" w:rsidRDefault="006B3DEF" w:rsidP="0024766E">
            <w:pPr>
              <w:pStyle w:val="ListParagraph"/>
              <w:numPr>
                <w:ilvl w:val="0"/>
                <w:numId w:val="9"/>
              </w:numPr>
              <w:ind w:right="117"/>
              <w:jc w:val="both"/>
            </w:pPr>
            <w:r>
              <w:lastRenderedPageBreak/>
              <w:t xml:space="preserve">reģistrētus PVN maksātājus, kas piemēro apgriezto jeb reverso PVN </w:t>
            </w:r>
            <w:r w:rsidRPr="00565772">
              <w:t>maksā</w:t>
            </w:r>
            <w:r w:rsidR="0086503D" w:rsidRPr="00565772">
              <w:t>šanas kārtību darījumos ar kokma</w:t>
            </w:r>
            <w:r w:rsidRPr="00565772">
              <w:t>teriāliem</w:t>
            </w:r>
            <w:r w:rsidR="0067025B">
              <w:t xml:space="preserve"> un metāllūžņiem</w:t>
            </w:r>
            <w:r w:rsidR="005F1A12">
              <w:t>;</w:t>
            </w:r>
          </w:p>
          <w:p w14:paraId="452A23E0" w14:textId="1665997D" w:rsidR="005F1A12" w:rsidRDefault="005F1A12" w:rsidP="0024766E">
            <w:pPr>
              <w:pStyle w:val="ListParagraph"/>
              <w:numPr>
                <w:ilvl w:val="0"/>
                <w:numId w:val="9"/>
              </w:numPr>
              <w:ind w:right="117"/>
              <w:jc w:val="both"/>
            </w:pPr>
            <w:r>
              <w:t>personas, kurām ir jāiesniedz paziņojums par PVN samaksu;</w:t>
            </w:r>
          </w:p>
          <w:p w14:paraId="263AB00A" w14:textId="4EBC4B9A" w:rsidR="005F1A12" w:rsidRDefault="005F1A12" w:rsidP="00416E17">
            <w:pPr>
              <w:pStyle w:val="ListParagraph"/>
              <w:numPr>
                <w:ilvl w:val="0"/>
                <w:numId w:val="9"/>
              </w:numPr>
              <w:autoSpaceDE w:val="0"/>
              <w:autoSpaceDN w:val="0"/>
              <w:adjustRightInd w:val="0"/>
              <w:ind w:right="132"/>
              <w:jc w:val="both"/>
            </w:pPr>
            <w:r w:rsidRPr="00C73A59">
              <w:t>trešās valsts vai trešās teritorijas fiziskā</w:t>
            </w:r>
            <w:r>
              <w:t>s</w:t>
            </w:r>
            <w:r w:rsidRPr="00C73A59">
              <w:t xml:space="preserve"> persona</w:t>
            </w:r>
            <w:r>
              <w:t>s</w:t>
            </w:r>
            <w:r w:rsidRPr="00C73A59">
              <w:t xml:space="preserve">, </w:t>
            </w:r>
            <w:r>
              <w:t>kuru</w:t>
            </w:r>
            <w:r w:rsidRPr="004E4E90">
              <w:t xml:space="preserve"> pastāvīgā adrese vai parastā dzīvesvieta nav Eiropas Savienības teritorijā</w:t>
            </w:r>
            <w:r>
              <w:t xml:space="preserve"> un kuras i</w:t>
            </w:r>
            <w:r w:rsidRPr="00C73A59">
              <w:t>zved iekšzemē iegādātās</w:t>
            </w:r>
            <w:r>
              <w:t xml:space="preserve"> preces</w:t>
            </w:r>
            <w:r w:rsidRPr="00C73A59">
              <w:t xml:space="preserve"> </w:t>
            </w:r>
            <w:r>
              <w:t>ārpus</w:t>
            </w:r>
            <w:r w:rsidRPr="00C73A59">
              <w:t xml:space="preserve"> Eiropas Savienības teritorijas.</w:t>
            </w:r>
          </w:p>
          <w:p w14:paraId="4D23C781" w14:textId="52C437E7" w:rsidR="00D252D3" w:rsidRPr="00762ABF" w:rsidRDefault="00D252D3" w:rsidP="00EB60FD">
            <w:pPr>
              <w:pStyle w:val="ListParagraph"/>
              <w:numPr>
                <w:ilvl w:val="0"/>
                <w:numId w:val="9"/>
              </w:numPr>
              <w:autoSpaceDE w:val="0"/>
              <w:autoSpaceDN w:val="0"/>
              <w:adjustRightInd w:val="0"/>
              <w:ind w:right="132"/>
              <w:jc w:val="both"/>
            </w:pPr>
            <w:r w:rsidRPr="00762ABF">
              <w:t>r</w:t>
            </w:r>
            <w:r w:rsidR="00B4740D" w:rsidRPr="00762ABF">
              <w:t>eģistrētus PVN maksātājus, kuri</w:t>
            </w:r>
            <w:r w:rsidRPr="00762ABF">
              <w:t xml:space="preserve"> iekšzemē veic ar PVN apliekamus darījumus</w:t>
            </w:r>
            <w:proofErr w:type="gramStart"/>
            <w:r w:rsidR="00EB60FD" w:rsidRPr="00762ABF">
              <w:t xml:space="preserve">  </w:t>
            </w:r>
            <w:proofErr w:type="gramEnd"/>
            <w:r w:rsidR="00EB60FD" w:rsidRPr="00762ABF">
              <w:t>augļkopības un dārzeņkopības noz</w:t>
            </w:r>
            <w:r w:rsidR="006C4203" w:rsidRPr="00762ABF">
              <w:t>arē</w:t>
            </w:r>
            <w:r w:rsidRPr="00762ABF">
              <w:t>;</w:t>
            </w:r>
          </w:p>
          <w:p w14:paraId="70A989BC" w14:textId="63BD16D8" w:rsidR="00D252D3" w:rsidRPr="00762ABF" w:rsidRDefault="00D252D3" w:rsidP="00D252D3">
            <w:pPr>
              <w:pStyle w:val="ListParagraph"/>
              <w:numPr>
                <w:ilvl w:val="0"/>
                <w:numId w:val="9"/>
              </w:numPr>
              <w:autoSpaceDE w:val="0"/>
              <w:autoSpaceDN w:val="0"/>
              <w:adjustRightInd w:val="0"/>
              <w:ind w:right="132"/>
              <w:jc w:val="both"/>
            </w:pPr>
            <w:r w:rsidRPr="00762ABF">
              <w:t xml:space="preserve">patērētājus, </w:t>
            </w:r>
            <w:proofErr w:type="gramStart"/>
            <w:r w:rsidRPr="00762ABF">
              <w:t>kuri iegādājas svaigus augļus, ogas</w:t>
            </w:r>
            <w:proofErr w:type="gramEnd"/>
            <w:r w:rsidRPr="00762ABF">
              <w:t xml:space="preserve"> un dārzeņus saskaņā ar </w:t>
            </w:r>
            <w:r w:rsidR="00BB3148" w:rsidRPr="00762ABF">
              <w:t>PVN</w:t>
            </w:r>
            <w:r w:rsidRPr="00762ABF">
              <w:t xml:space="preserve"> likuma pielikumā norādīto.</w:t>
            </w:r>
          </w:p>
          <w:p w14:paraId="4D013048" w14:textId="140AC8D8" w:rsidR="00565772" w:rsidRPr="00565772" w:rsidRDefault="00565772" w:rsidP="00D252D3">
            <w:pPr>
              <w:pStyle w:val="ListParagraph"/>
              <w:autoSpaceDE w:val="0"/>
              <w:autoSpaceDN w:val="0"/>
              <w:adjustRightInd w:val="0"/>
              <w:ind w:left="451" w:right="132"/>
              <w:jc w:val="both"/>
            </w:pPr>
          </w:p>
          <w:p w14:paraId="5BA41686" w14:textId="5DA24BD7" w:rsidR="00706415" w:rsidRPr="000C4C70" w:rsidRDefault="00706415" w:rsidP="0024766E">
            <w:pPr>
              <w:pStyle w:val="ListParagraph"/>
              <w:ind w:left="58" w:right="117" w:firstLine="393"/>
              <w:jc w:val="both"/>
            </w:pPr>
            <w:r w:rsidRPr="009541A3">
              <w:t xml:space="preserve">Pēc </w:t>
            </w:r>
            <w:r w:rsidRPr="00E11E4B">
              <w:t xml:space="preserve">VID datiem </w:t>
            </w:r>
            <w:proofErr w:type="gramStart"/>
            <w:r w:rsidRPr="00E11E4B">
              <w:t>20</w:t>
            </w:r>
            <w:r w:rsidR="002C3563" w:rsidRPr="00E11E4B">
              <w:t>20</w:t>
            </w:r>
            <w:r w:rsidRPr="00E11E4B">
              <w:t>.gada</w:t>
            </w:r>
            <w:proofErr w:type="gramEnd"/>
            <w:r w:rsidRPr="00E11E4B">
              <w:t xml:space="preserve"> 1.</w:t>
            </w:r>
            <w:r w:rsidR="0015587C" w:rsidRPr="00E11E4B">
              <w:t>septembrī</w:t>
            </w:r>
            <w:r w:rsidRPr="00E11E4B">
              <w:t xml:space="preserve"> reģistrētu PVN maksātāju skaits ir </w:t>
            </w:r>
            <w:r w:rsidR="0015587C" w:rsidRPr="00E11E4B">
              <w:t>79 041</w:t>
            </w:r>
            <w:r w:rsidR="00CF6F36" w:rsidRPr="00E11E4B">
              <w:t>.</w:t>
            </w:r>
          </w:p>
        </w:tc>
      </w:tr>
      <w:tr w:rsidR="000C4C70" w:rsidRPr="000C4C70" w14:paraId="0B37CF3C" w14:textId="77777777" w:rsidTr="00AD20D8">
        <w:trPr>
          <w:cantSplit/>
        </w:trPr>
        <w:tc>
          <w:tcPr>
            <w:tcW w:w="300" w:type="pct"/>
            <w:hideMark/>
          </w:tcPr>
          <w:p w14:paraId="5AA125F2" w14:textId="77777777" w:rsidR="00706415" w:rsidRPr="000C4C70" w:rsidRDefault="00706415" w:rsidP="00706415">
            <w:pPr>
              <w:jc w:val="center"/>
            </w:pPr>
            <w:r w:rsidRPr="000C4C70">
              <w:lastRenderedPageBreak/>
              <w:t>2.</w:t>
            </w:r>
          </w:p>
        </w:tc>
        <w:tc>
          <w:tcPr>
            <w:tcW w:w="912" w:type="pct"/>
            <w:hideMark/>
          </w:tcPr>
          <w:p w14:paraId="733998B7" w14:textId="77777777" w:rsidR="00706415" w:rsidRPr="000C4C70" w:rsidRDefault="00706415" w:rsidP="00706415">
            <w:r w:rsidRPr="000C4C70">
              <w:t>Tiesiskā regulējuma ietekme uz tautsaimniecību un administratīvo slogu</w:t>
            </w:r>
          </w:p>
        </w:tc>
        <w:tc>
          <w:tcPr>
            <w:tcW w:w="3788" w:type="pct"/>
            <w:hideMark/>
          </w:tcPr>
          <w:p w14:paraId="42596DB4" w14:textId="4A8A0594" w:rsidR="009541A3" w:rsidRPr="006106CF" w:rsidRDefault="00706415" w:rsidP="00B5026E">
            <w:pPr>
              <w:ind w:left="58" w:right="115" w:firstLine="425"/>
              <w:jc w:val="both"/>
            </w:pPr>
            <w:r w:rsidRPr="006106CF">
              <w:t>Likumprojekta ieviešana</w:t>
            </w:r>
            <w:r w:rsidR="009541A3" w:rsidRPr="006106CF">
              <w:t xml:space="preserve"> daļā par lēmumu paziņojumu</w:t>
            </w:r>
            <w:r w:rsidRPr="006106CF">
              <w:t xml:space="preserve"> kopumā pozitīvi ietekmēs uzņēmējdarbības vidi. </w:t>
            </w:r>
            <w:r w:rsidR="00B5026E" w:rsidRPr="006106CF">
              <w:t>Ar likumprojektu tiks vienkāršota lēmumu paziņošan</w:t>
            </w:r>
            <w:r w:rsidR="0086503D" w:rsidRPr="006106CF">
              <w:t>a</w:t>
            </w:r>
            <w:r w:rsidR="00B5026E" w:rsidRPr="006106CF">
              <w:t xml:space="preserve"> nodokļu maksātājiem, nosakot vienu lēmumu paziņošanas veidu un vienādojot PVN regulējumu ar vispārīgo likumā “Par nodokļiem un nodevām” noteikto regulējumu. Tāpat PVN likumā netiks īpaši atrunāts PVN maksātāju saziņas veids ar VID, tādā veidā visa saziņa notiks EDS atbilstoši likumā “Par nodokļiem un nodevām” noteiktajam regulējumam. </w:t>
            </w:r>
          </w:p>
          <w:p w14:paraId="328AEF04" w14:textId="5DC7B739" w:rsidR="005846FF" w:rsidRPr="006106CF" w:rsidRDefault="005846FF" w:rsidP="00054063">
            <w:pPr>
              <w:ind w:left="58" w:right="109" w:firstLine="425"/>
              <w:jc w:val="both"/>
            </w:pPr>
            <w:r w:rsidRPr="006106CF">
              <w:t xml:space="preserve">Likumprojekta ieviešana daļā par PVN pārmaksas atmaksas regulējuma pilnveidošanu kopumā pozitīvi ietekmēs uzņēmējdarbības vidi, jo tie PVN maksātāji, kuriem objektīvu apstākļu dēļ veidojas PVN pārmaksa, turpmāk </w:t>
            </w:r>
            <w:r w:rsidR="00C72726" w:rsidRPr="006106CF">
              <w:t xml:space="preserve">ātrāk </w:t>
            </w:r>
            <w:r w:rsidRPr="006106CF">
              <w:t xml:space="preserve">saņems atmaksu un varēs operatīvi pārvaldīt apgrozāmos līdzekļus, </w:t>
            </w:r>
            <w:r w:rsidR="00C72726" w:rsidRPr="006106CF">
              <w:t xml:space="preserve">piemēram, </w:t>
            </w:r>
            <w:r w:rsidRPr="006106CF">
              <w:t>veicot īstermiņa vai ilgtermiņa ieguldījumus uzņēmējdarbības attīstībā.</w:t>
            </w:r>
          </w:p>
          <w:p w14:paraId="4346EE5A" w14:textId="54252364" w:rsidR="006B3DEF" w:rsidRPr="006106CF" w:rsidRDefault="00947A95" w:rsidP="00466AA2">
            <w:pPr>
              <w:ind w:left="57" w:right="124" w:firstLine="426"/>
              <w:jc w:val="both"/>
            </w:pPr>
            <w:r w:rsidRPr="006106CF">
              <w:t xml:space="preserve">Saistībā ar likumprojekta ieviešanu daļā par depozīta sistēmu pieaugs administratīvais slogs depozīta </w:t>
            </w:r>
            <w:r w:rsidR="0086503D" w:rsidRPr="006106CF">
              <w:t>iepakotājiem</w:t>
            </w:r>
            <w:r w:rsidRPr="006106CF">
              <w:t xml:space="preserve"> saistībā ar pienākumu iesniegt deklarāciju par taksācijas gadu un ar PVN apliekamās vērtības koriģēšanu, jo tiek ieviesta obligāta depozīta sistēma, kas attieksies gan uz atkārtoti lietojamu iepakojumu, gan arī uz vienreiz lietojamu iepakojumu. Tomēr šī sloga pieaugums nav </w:t>
            </w:r>
            <w:r w:rsidR="00873344" w:rsidRPr="006106CF">
              <w:t>saistīts ar administratīvo prasību</w:t>
            </w:r>
            <w:r w:rsidRPr="006106CF">
              <w:t xml:space="preserve"> </w:t>
            </w:r>
            <w:r w:rsidR="00873344" w:rsidRPr="006106CF">
              <w:t xml:space="preserve">pieaugumu </w:t>
            </w:r>
            <w:r w:rsidRPr="006106CF">
              <w:t xml:space="preserve">PVN </w:t>
            </w:r>
            <w:r w:rsidR="00873344" w:rsidRPr="006106CF">
              <w:t>jomā</w:t>
            </w:r>
            <w:r w:rsidRPr="006106CF">
              <w:t xml:space="preserve">, bet gan </w:t>
            </w:r>
            <w:r w:rsidR="0086503D" w:rsidRPr="006106CF">
              <w:t xml:space="preserve">ir atkarīgs </w:t>
            </w:r>
            <w:r w:rsidRPr="006106CF">
              <w:t xml:space="preserve">no obligātās depozīta sistēmas ieviešanas </w:t>
            </w:r>
            <w:r w:rsidR="00C72726" w:rsidRPr="006106CF">
              <w:t xml:space="preserve">Latvijā </w:t>
            </w:r>
            <w:r w:rsidRPr="006106CF">
              <w:t xml:space="preserve">kopumā. </w:t>
            </w:r>
            <w:r w:rsidR="0086503D" w:rsidRPr="006106CF">
              <w:t>Savukārt</w:t>
            </w:r>
            <w:r w:rsidR="00873344" w:rsidRPr="006106CF">
              <w:t xml:space="preserve"> </w:t>
            </w:r>
            <w:r w:rsidR="0086503D" w:rsidRPr="006106CF">
              <w:t>d</w:t>
            </w:r>
            <w:r w:rsidR="00873344" w:rsidRPr="006106CF">
              <w:t xml:space="preserve">epozīta sistēmas ieviešanai būs pozitīva ietekme uz vidi, kas veicinās izlietotā iepakojuma pārstrādes apjoma palielināšanu un izlietotā iepakojuma apjoma, kas jāapglabā atkritumu poligonā, samazināšanu, kā arī dzērienu iepakojuma pārdomātu patēriņu. </w:t>
            </w:r>
          </w:p>
          <w:p w14:paraId="7D96B570" w14:textId="1753D645" w:rsidR="003706D1" w:rsidRPr="006106CF" w:rsidRDefault="003706D1" w:rsidP="0086503D">
            <w:pPr>
              <w:ind w:left="58" w:right="109" w:firstLine="425"/>
              <w:jc w:val="both"/>
            </w:pPr>
            <w:r w:rsidRPr="006106CF">
              <w:t>Likumprojekta ieviešana daļā par apgrieztās jeb reversās PVN maksāšanas kārtības kokmateriālu piegādēm</w:t>
            </w:r>
            <w:r w:rsidR="0067025B" w:rsidRPr="006106CF">
              <w:t xml:space="preserve"> un metāllūžņu piegādēm</w:t>
            </w:r>
            <w:r w:rsidRPr="006106CF">
              <w:t xml:space="preserve"> precizēšanu labvēlīgi ietekmēs ar konkrēt</w:t>
            </w:r>
            <w:r w:rsidR="0067025B" w:rsidRPr="006106CF">
              <w:t>ajām</w:t>
            </w:r>
            <w:r w:rsidRPr="006106CF">
              <w:t xml:space="preserve"> jom</w:t>
            </w:r>
            <w:r w:rsidR="0067025B" w:rsidRPr="006106CF">
              <w:t>ām</w:t>
            </w:r>
            <w:r w:rsidRPr="006106CF">
              <w:t xml:space="preserve"> saistītos uzņēmumus, jo tiks novērsta atšķirīga regulējum</w:t>
            </w:r>
            <w:r w:rsidR="0067025B" w:rsidRPr="006106CF">
              <w:t>u</w:t>
            </w:r>
            <w:r w:rsidRPr="006106CF">
              <w:t xml:space="preserve"> izpratne un t</w:t>
            </w:r>
            <w:r w:rsidR="0067025B" w:rsidRPr="006106CF">
              <w:t>o</w:t>
            </w:r>
            <w:r w:rsidRPr="006106CF">
              <w:t xml:space="preserve"> dažādā interpretāci</w:t>
            </w:r>
            <w:r w:rsidR="00466AA2" w:rsidRPr="006106CF">
              <w:t>ja atsevišķos gadījumos, kā arī</w:t>
            </w:r>
            <w:r w:rsidRPr="006106CF">
              <w:t xml:space="preserve"> tiks panākta</w:t>
            </w:r>
            <w:r w:rsidR="0067025B" w:rsidRPr="006106CF">
              <w:t>s</w:t>
            </w:r>
            <w:r w:rsidRPr="006106CF">
              <w:t xml:space="preserve"> skaidra</w:t>
            </w:r>
            <w:r w:rsidR="0067025B" w:rsidRPr="006106CF">
              <w:t>s</w:t>
            </w:r>
            <w:r w:rsidRPr="006106CF">
              <w:t xml:space="preserve"> un nepārprotama</w:t>
            </w:r>
            <w:r w:rsidR="0067025B" w:rsidRPr="006106CF">
              <w:t>s</w:t>
            </w:r>
            <w:r w:rsidRPr="006106CF">
              <w:t xml:space="preserve"> norma</w:t>
            </w:r>
            <w:r w:rsidR="0067025B" w:rsidRPr="006106CF">
              <w:t>s</w:t>
            </w:r>
            <w:r w:rsidRPr="006106CF">
              <w:t xml:space="preserve"> gan </w:t>
            </w:r>
            <w:r w:rsidR="0086503D" w:rsidRPr="006106CF">
              <w:t>PVN</w:t>
            </w:r>
            <w:r w:rsidRPr="006106CF">
              <w:t xml:space="preserve"> maksātājiem, gan nodokļu administrācijai.</w:t>
            </w:r>
          </w:p>
          <w:p w14:paraId="09226E9F" w14:textId="33818B70" w:rsidR="00AB78C7" w:rsidRPr="006106CF" w:rsidRDefault="00B047FA" w:rsidP="00AB78C7">
            <w:pPr>
              <w:ind w:left="58" w:right="109" w:firstLine="425"/>
              <w:jc w:val="both"/>
            </w:pPr>
            <w:r w:rsidRPr="006106CF">
              <w:t>Likumprojekta ieviešana daļā par PVN samazinātās likmes saglabāšanu</w:t>
            </w:r>
            <w:proofErr w:type="gramStart"/>
            <w:r w:rsidRPr="006106CF">
              <w:t xml:space="preserve">  </w:t>
            </w:r>
            <w:proofErr w:type="gramEnd"/>
            <w:r w:rsidRPr="006106CF">
              <w:t>svaigiem augļiem, ogām un dārzeņiem  pozitīvi ietekmēs tautsaimniecību</w:t>
            </w:r>
            <w:r w:rsidR="00FF469A" w:rsidRPr="006106CF">
              <w:t>,</w:t>
            </w:r>
            <w:r w:rsidRPr="006106CF">
              <w:t xml:space="preserve"> veicinot augļkopības un dārzeņkopības nozaru attīstību</w:t>
            </w:r>
            <w:r w:rsidR="001451D7" w:rsidRPr="006106CF">
              <w:t>,</w:t>
            </w:r>
            <w:r w:rsidR="00124407" w:rsidRPr="006106CF">
              <w:t xml:space="preserve"> </w:t>
            </w:r>
            <w:r w:rsidRPr="006106CF">
              <w:t>un var samazināt ēnu ekonomikas īpatsvaru, mazināt ēnu ekonomikas negatīvās sekas legāli strādājošajos uzņēmumos</w:t>
            </w:r>
            <w:r w:rsidR="0076719E" w:rsidRPr="006106CF">
              <w:t>, vienlaicīgi kāpinot to konkurētspēju</w:t>
            </w:r>
            <w:r w:rsidR="00321F4F" w:rsidRPr="006106CF">
              <w:t xml:space="preserve">, kā arī veicinot svaigu augļu, ogu </w:t>
            </w:r>
            <w:r w:rsidR="00321F4F" w:rsidRPr="006106CF">
              <w:lastRenderedPageBreak/>
              <w:t>un dārzeņu patēriņu</w:t>
            </w:r>
            <w:r w:rsidRPr="006106CF">
              <w:t>. Tā kā PVN tiešā veidā ietekmē pārtikas produktu gala cenu,</w:t>
            </w:r>
            <w:r w:rsidR="00697AA1" w:rsidRPr="006106CF">
              <w:t xml:space="preserve"> saglabājot</w:t>
            </w:r>
            <w:r w:rsidR="00024A31" w:rsidRPr="006106CF">
              <w:t xml:space="preserve"> PVN samazināto likmi piecu</w:t>
            </w:r>
            <w:r w:rsidRPr="006106CF">
              <w:t xml:space="preserve"> procentu apmērā </w:t>
            </w:r>
            <w:r w:rsidR="00202A08" w:rsidRPr="006106CF">
              <w:t xml:space="preserve">svaigiem </w:t>
            </w:r>
            <w:r w:rsidRPr="006106CF">
              <w:t>augļiem, ogām un dārzeņiem</w:t>
            </w:r>
            <w:r w:rsidR="00697AA1" w:rsidRPr="006106CF">
              <w:t xml:space="preserve"> līdz 2023.gada 31.decembrim</w:t>
            </w:r>
            <w:r w:rsidRPr="006106CF">
              <w:t xml:space="preserve">, </w:t>
            </w:r>
            <w:r w:rsidR="00AB78C7" w:rsidRPr="006106CF">
              <w:t>nav</w:t>
            </w:r>
            <w:r w:rsidRPr="006106CF">
              <w:t xml:space="preserve"> gaidāms</w:t>
            </w:r>
            <w:r w:rsidR="001451D7" w:rsidRPr="006106CF">
              <w:t xml:space="preserve">, ka </w:t>
            </w:r>
            <w:r w:rsidR="00AB78C7" w:rsidRPr="006106CF">
              <w:t xml:space="preserve">mazumtirdzniecības cenas iepriekš </w:t>
            </w:r>
            <w:r w:rsidR="000717CB" w:rsidRPr="006106CF">
              <w:t xml:space="preserve"> minēto nozaru produkcijai būs pakļautas cenu kāpuma riskam  dēļ PVN likmes paaugstināšan</w:t>
            </w:r>
            <w:r w:rsidR="00E5724A" w:rsidRPr="006106CF">
              <w:t>a</w:t>
            </w:r>
            <w:r w:rsidR="000717CB" w:rsidRPr="006106CF">
              <w:t>s.</w:t>
            </w:r>
          </w:p>
          <w:p w14:paraId="798F5835" w14:textId="08FA7200" w:rsidR="00C72726" w:rsidRPr="006106CF" w:rsidRDefault="00C72726" w:rsidP="00AB78C7">
            <w:pPr>
              <w:ind w:left="58" w:right="109" w:firstLine="425"/>
              <w:jc w:val="both"/>
            </w:pPr>
            <w:r w:rsidRPr="006106CF">
              <w:t>Attiecībā uz paziņojumu par PVN samaksu</w:t>
            </w:r>
            <w:r w:rsidR="006347A8" w:rsidRPr="006106CF">
              <w:t xml:space="preserve"> iesniegšanu</w:t>
            </w:r>
            <w:r w:rsidR="008E7E86" w:rsidRPr="006106CF">
              <w:t xml:space="preserve"> un PVN</w:t>
            </w:r>
            <w:proofErr w:type="gramStart"/>
            <w:r w:rsidR="008E7E86" w:rsidRPr="006106CF">
              <w:t xml:space="preserve"> </w:t>
            </w:r>
            <w:r w:rsidR="00A27538" w:rsidRPr="006106CF">
              <w:t xml:space="preserve"> </w:t>
            </w:r>
            <w:proofErr w:type="gramEnd"/>
            <w:r w:rsidR="00A27538" w:rsidRPr="006106CF">
              <w:t xml:space="preserve">samazinātās </w:t>
            </w:r>
            <w:r w:rsidR="008E7E86" w:rsidRPr="006106CF">
              <w:t>piecu procentu likmes saglabāšanu</w:t>
            </w:r>
            <w:r w:rsidR="006347A8" w:rsidRPr="006106CF">
              <w:t xml:space="preserve"> administratīvais slogs paliks nemainīgs.</w:t>
            </w:r>
          </w:p>
        </w:tc>
      </w:tr>
      <w:tr w:rsidR="000C4C70" w:rsidRPr="000C4C70" w14:paraId="1C6DD746" w14:textId="77777777" w:rsidTr="00AD20D8">
        <w:trPr>
          <w:cantSplit/>
        </w:trPr>
        <w:tc>
          <w:tcPr>
            <w:tcW w:w="300" w:type="pct"/>
            <w:hideMark/>
          </w:tcPr>
          <w:p w14:paraId="7715EC83" w14:textId="77777777" w:rsidR="00706415" w:rsidRPr="000C4C70" w:rsidRDefault="00706415" w:rsidP="00706415">
            <w:pPr>
              <w:jc w:val="center"/>
            </w:pPr>
            <w:r w:rsidRPr="000C4C70">
              <w:lastRenderedPageBreak/>
              <w:t>3.</w:t>
            </w:r>
          </w:p>
        </w:tc>
        <w:tc>
          <w:tcPr>
            <w:tcW w:w="912" w:type="pct"/>
            <w:hideMark/>
          </w:tcPr>
          <w:p w14:paraId="1F1F54E1" w14:textId="77777777" w:rsidR="00706415" w:rsidRPr="000C4C70" w:rsidRDefault="00706415" w:rsidP="00706415">
            <w:r w:rsidRPr="000C4C70">
              <w:t>Administratīvo izmaksu monetārs novērtējums</w:t>
            </w:r>
          </w:p>
        </w:tc>
        <w:tc>
          <w:tcPr>
            <w:tcW w:w="3788" w:type="pct"/>
            <w:hideMark/>
          </w:tcPr>
          <w:p w14:paraId="39D1262B" w14:textId="4C663D76" w:rsidR="006347A8" w:rsidRDefault="00706415" w:rsidP="00C72726">
            <w:pPr>
              <w:ind w:left="58" w:right="109" w:firstLine="283"/>
              <w:jc w:val="both"/>
            </w:pPr>
            <w:r w:rsidRPr="000C4C70">
              <w:t xml:space="preserve">Likumprojekta administratīvo izmaksu monetāru aprēķinu nav iespējams veikt. Attiecībā uz grozījumiem par </w:t>
            </w:r>
            <w:r w:rsidR="00B5026E">
              <w:t>lēmumu paziņošanu un saziņu ar VID</w:t>
            </w:r>
            <w:r w:rsidRPr="000C4C70">
              <w:t xml:space="preserve"> var secināt, ka administratīv</w:t>
            </w:r>
            <w:r w:rsidR="00C72726">
              <w:t>ās</w:t>
            </w:r>
            <w:r w:rsidRPr="000C4C70">
              <w:t xml:space="preserve"> izmaks</w:t>
            </w:r>
            <w:r w:rsidR="00C72726">
              <w:t>as</w:t>
            </w:r>
            <w:r w:rsidRPr="000C4C70">
              <w:t xml:space="preserve"> kopumā </w:t>
            </w:r>
            <w:r w:rsidR="00C72726">
              <w:t>samazināsies</w:t>
            </w:r>
            <w:r w:rsidRPr="000C4C70">
              <w:t xml:space="preserve">, jo </w:t>
            </w:r>
            <w:r w:rsidR="006B147E">
              <w:t>tiek vienkāršots normatīvais regulējums, vienādojot</w:t>
            </w:r>
            <w:r w:rsidR="00466AA2">
              <w:t xml:space="preserve"> to ar likumā “Par nodokļiem un</w:t>
            </w:r>
            <w:r w:rsidR="006B147E">
              <w:t xml:space="preserve"> nodevām” noteikto.</w:t>
            </w:r>
            <w:r w:rsidR="00B5026E">
              <w:t xml:space="preserve"> </w:t>
            </w:r>
          </w:p>
          <w:p w14:paraId="34228D66" w14:textId="33FADBDB" w:rsidR="00706415" w:rsidRDefault="00873344" w:rsidP="00C72726">
            <w:pPr>
              <w:ind w:left="58" w:right="109" w:firstLine="283"/>
              <w:jc w:val="both"/>
            </w:pPr>
            <w:r>
              <w:t>Savukārt attiecībā uz grozījumiem par depozīta sistēmu tiek pieņemts, ka administratīvo izmaksu novērtējums varētu būt negatīvs, jo depozīta sistēma kļūs obligāta un t</w:t>
            </w:r>
            <w:r w:rsidR="003D5965">
              <w:t xml:space="preserve">o izmantos lielāks </w:t>
            </w:r>
            <w:r w:rsidR="00406F0E">
              <w:t>reģistrēto PVN maksātāju skaits.</w:t>
            </w:r>
          </w:p>
          <w:p w14:paraId="14C2B69A" w14:textId="77777777" w:rsidR="006347A8" w:rsidRDefault="00AA2B68" w:rsidP="00AA2B68">
            <w:pPr>
              <w:ind w:left="58" w:right="109" w:firstLine="283"/>
              <w:jc w:val="both"/>
            </w:pPr>
            <w:r>
              <w:t xml:space="preserve">Attiecībā uz pārmaksātā PVN summas atmaksas kārtību administratīvās izmaksas personām, kuras ir izslēgtas no VID PVN maksātāju reģistra, vairs nebūs, jo tām nebūs vairs atsevišķi ar iesniegumu jāpieprasa pārmaksātā PVN summa. </w:t>
            </w:r>
          </w:p>
          <w:p w14:paraId="1007F5D0" w14:textId="24409781" w:rsidR="00AA2B68" w:rsidRPr="000C4C70" w:rsidRDefault="006347A8" w:rsidP="006347A8">
            <w:pPr>
              <w:ind w:left="58" w:right="109" w:firstLine="283"/>
              <w:jc w:val="both"/>
            </w:pPr>
            <w:r>
              <w:t>Attiecībā uz paziņojuma par PVN samaksu iesniegšanu</w:t>
            </w:r>
            <w:proofErr w:type="gramStart"/>
            <w:r>
              <w:t xml:space="preserve"> </w:t>
            </w:r>
            <w:r w:rsidR="00814CB3">
              <w:t xml:space="preserve"> </w:t>
            </w:r>
            <w:proofErr w:type="gramEnd"/>
            <w:r w:rsidR="00814CB3" w:rsidRPr="006106CF">
              <w:t xml:space="preserve">un PVN  samazinātās piecu procentu likmes saglabāšanu </w:t>
            </w:r>
            <w:r w:rsidRPr="006106CF">
              <w:t>a</w:t>
            </w:r>
            <w:r>
              <w:t xml:space="preserve">dministratīvās izmaksas </w:t>
            </w:r>
            <w:r w:rsidR="00AA2B68">
              <w:t xml:space="preserve"> </w:t>
            </w:r>
            <w:r>
              <w:t>paliks nemainīgas.</w:t>
            </w:r>
          </w:p>
        </w:tc>
      </w:tr>
      <w:tr w:rsidR="000C4C70" w:rsidRPr="000C4C70" w14:paraId="79E9CEB0" w14:textId="77777777" w:rsidTr="00AD20D8">
        <w:trPr>
          <w:cantSplit/>
        </w:trPr>
        <w:tc>
          <w:tcPr>
            <w:tcW w:w="300" w:type="pct"/>
            <w:hideMark/>
          </w:tcPr>
          <w:p w14:paraId="3CE86070" w14:textId="77777777" w:rsidR="00706415" w:rsidRPr="000C4C70" w:rsidRDefault="00706415" w:rsidP="00706415">
            <w:pPr>
              <w:jc w:val="center"/>
            </w:pPr>
            <w:r w:rsidRPr="000C4C70">
              <w:t>4.</w:t>
            </w:r>
          </w:p>
        </w:tc>
        <w:tc>
          <w:tcPr>
            <w:tcW w:w="912" w:type="pct"/>
            <w:hideMark/>
          </w:tcPr>
          <w:p w14:paraId="39C87185" w14:textId="77777777" w:rsidR="00706415" w:rsidRPr="000C4C70" w:rsidRDefault="00706415" w:rsidP="00706415">
            <w:r w:rsidRPr="000C4C70">
              <w:t>Atbilstības izmaksu monetārs novērtējums</w:t>
            </w:r>
          </w:p>
        </w:tc>
        <w:tc>
          <w:tcPr>
            <w:tcW w:w="3788" w:type="pct"/>
            <w:hideMark/>
          </w:tcPr>
          <w:p w14:paraId="59B7C412" w14:textId="7D8E0FCB" w:rsidR="00706415" w:rsidRPr="000C4C70" w:rsidRDefault="00DD2EC2" w:rsidP="00761108">
            <w:pPr>
              <w:ind w:left="117"/>
            </w:pPr>
            <w:r w:rsidRPr="000C4C70">
              <w:t xml:space="preserve">Likumprojekta </w:t>
            </w:r>
            <w:r>
              <w:t>atbilstības</w:t>
            </w:r>
            <w:r w:rsidRPr="000C4C70">
              <w:t xml:space="preserve"> izmaksu monetāru </w:t>
            </w:r>
            <w:r w:rsidRPr="00DD2EC2">
              <w:t>aprēķinu</w:t>
            </w:r>
            <w:r w:rsidRPr="000C4C70">
              <w:t xml:space="preserve"> nav iespējams veikt.</w:t>
            </w:r>
          </w:p>
        </w:tc>
      </w:tr>
      <w:tr w:rsidR="000C4C70" w:rsidRPr="000C4C70" w14:paraId="69787E41" w14:textId="77777777" w:rsidTr="00AD20D8">
        <w:trPr>
          <w:cantSplit/>
        </w:trPr>
        <w:tc>
          <w:tcPr>
            <w:tcW w:w="300" w:type="pct"/>
            <w:hideMark/>
          </w:tcPr>
          <w:p w14:paraId="19AB2236" w14:textId="77777777" w:rsidR="00706415" w:rsidRPr="000C4C70" w:rsidRDefault="00706415" w:rsidP="00706415">
            <w:pPr>
              <w:jc w:val="center"/>
            </w:pPr>
            <w:r w:rsidRPr="000C4C70">
              <w:t>5.</w:t>
            </w:r>
          </w:p>
        </w:tc>
        <w:tc>
          <w:tcPr>
            <w:tcW w:w="912" w:type="pct"/>
            <w:hideMark/>
          </w:tcPr>
          <w:p w14:paraId="554C3739" w14:textId="77777777" w:rsidR="00706415" w:rsidRPr="000C4C70" w:rsidRDefault="00706415" w:rsidP="00706415">
            <w:r w:rsidRPr="000C4C70">
              <w:t>Cita informācija</w:t>
            </w:r>
          </w:p>
        </w:tc>
        <w:tc>
          <w:tcPr>
            <w:tcW w:w="3788" w:type="pct"/>
            <w:hideMark/>
          </w:tcPr>
          <w:p w14:paraId="67EF7C17" w14:textId="77777777" w:rsidR="00706415" w:rsidRPr="000C4C70" w:rsidRDefault="00706415" w:rsidP="00761108">
            <w:pPr>
              <w:ind w:left="117"/>
            </w:pPr>
            <w:r w:rsidRPr="000C4C70">
              <w:t>Nav</w:t>
            </w:r>
          </w:p>
        </w:tc>
      </w:tr>
    </w:tbl>
    <w:p w14:paraId="5DCD40CA" w14:textId="0BA79E6F" w:rsidR="00726538" w:rsidRPr="000C4C70" w:rsidRDefault="00726538" w:rsidP="00DE2739">
      <w:pPr>
        <w:jc w:val="both"/>
        <w:sectPr w:rsidR="00726538" w:rsidRPr="000C4C70" w:rsidSect="00FC4D53">
          <w:type w:val="continuous"/>
          <w:pgSz w:w="11906" w:h="16838"/>
          <w:pgMar w:top="1077" w:right="849" w:bottom="567" w:left="1797" w:header="709" w:footer="454" w:gutter="0"/>
          <w:cols w:space="708"/>
          <w:titlePg/>
          <w:docGrid w:linePitch="360"/>
        </w:sectPr>
      </w:pPr>
    </w:p>
    <w:tbl>
      <w:tblPr>
        <w:tblW w:w="5633"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123"/>
        <w:gridCol w:w="993"/>
        <w:gridCol w:w="849"/>
        <w:gridCol w:w="993"/>
        <w:gridCol w:w="36"/>
        <w:gridCol w:w="991"/>
        <w:gridCol w:w="1033"/>
        <w:gridCol w:w="1100"/>
        <w:gridCol w:w="1235"/>
      </w:tblGrid>
      <w:tr w:rsidR="004F211D" w:rsidRPr="000C4C70" w14:paraId="12618FBD" w14:textId="77777777" w:rsidTr="0024766E">
        <w:trPr>
          <w:cantSplit/>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1512EED8" w14:textId="77777777" w:rsidR="004F211D" w:rsidRPr="000C4C70" w:rsidRDefault="004F211D" w:rsidP="00C025C1">
            <w:pPr>
              <w:jc w:val="center"/>
              <w:rPr>
                <w:b/>
                <w:bCs/>
                <w:lang w:eastAsia="en-US"/>
              </w:rPr>
            </w:pPr>
            <w:r w:rsidRPr="000C4C70">
              <w:rPr>
                <w:b/>
                <w:bCs/>
                <w:lang w:eastAsia="en-US"/>
              </w:rPr>
              <w:t>III. Tiesību akta projekta ietekme uz valsts budžetu un pašvaldību budžetiem</w:t>
            </w:r>
          </w:p>
        </w:tc>
      </w:tr>
      <w:tr w:rsidR="004F211D" w:rsidRPr="000C4C70" w14:paraId="383E27A5" w14:textId="77777777" w:rsidTr="006106CF">
        <w:trPr>
          <w:cantSplit/>
        </w:trPr>
        <w:tc>
          <w:tcPr>
            <w:tcW w:w="1135" w:type="pct"/>
            <w:vMerge w:val="restart"/>
            <w:shd w:val="clear" w:color="auto" w:fill="FFFFFF"/>
            <w:vAlign w:val="center"/>
          </w:tcPr>
          <w:p w14:paraId="43D41323" w14:textId="77777777" w:rsidR="004F211D" w:rsidRPr="000C4C70" w:rsidRDefault="004F211D" w:rsidP="00C025C1">
            <w:pPr>
              <w:jc w:val="center"/>
              <w:rPr>
                <w:bCs/>
                <w:lang w:eastAsia="en-US"/>
              </w:rPr>
            </w:pPr>
            <w:r w:rsidRPr="000C4C70">
              <w:rPr>
                <w:bCs/>
                <w:lang w:eastAsia="en-US"/>
              </w:rPr>
              <w:t>Rādītāji</w:t>
            </w:r>
          </w:p>
        </w:tc>
        <w:tc>
          <w:tcPr>
            <w:tcW w:w="985" w:type="pct"/>
            <w:gridSpan w:val="2"/>
            <w:vMerge w:val="restart"/>
            <w:shd w:val="clear" w:color="auto" w:fill="FFFFFF"/>
            <w:vAlign w:val="center"/>
            <w:hideMark/>
          </w:tcPr>
          <w:p w14:paraId="39EEF883" w14:textId="77777777" w:rsidR="004F211D" w:rsidRPr="000C4C70" w:rsidRDefault="004F211D" w:rsidP="00C025C1">
            <w:pPr>
              <w:jc w:val="center"/>
              <w:rPr>
                <w:bCs/>
                <w:lang w:eastAsia="en-US"/>
              </w:rPr>
            </w:pPr>
            <w:r w:rsidRPr="000C4C70">
              <w:rPr>
                <w:bCs/>
                <w:lang w:eastAsia="en-US"/>
              </w:rPr>
              <w:t>20</w:t>
            </w:r>
            <w:r>
              <w:rPr>
                <w:bCs/>
                <w:lang w:eastAsia="en-US"/>
              </w:rPr>
              <w:t>20</w:t>
            </w:r>
          </w:p>
        </w:tc>
        <w:tc>
          <w:tcPr>
            <w:tcW w:w="2880" w:type="pct"/>
            <w:gridSpan w:val="6"/>
            <w:shd w:val="clear" w:color="auto" w:fill="FFFFFF"/>
            <w:vAlign w:val="center"/>
            <w:hideMark/>
          </w:tcPr>
          <w:p w14:paraId="1FC0886B" w14:textId="77777777" w:rsidR="004F211D" w:rsidRPr="000C4C70" w:rsidRDefault="004F211D" w:rsidP="00C025C1">
            <w:pPr>
              <w:jc w:val="center"/>
              <w:rPr>
                <w:lang w:eastAsia="en-US"/>
              </w:rPr>
            </w:pPr>
            <w:r w:rsidRPr="000C4C70">
              <w:rPr>
                <w:lang w:eastAsia="en-US"/>
              </w:rPr>
              <w:t>Turpmākie trīs gadi (</w:t>
            </w:r>
            <w:r w:rsidRPr="000C4C70">
              <w:rPr>
                <w:i/>
                <w:iCs/>
                <w:lang w:eastAsia="en-US"/>
              </w:rPr>
              <w:t>euro</w:t>
            </w:r>
            <w:r w:rsidRPr="000C4C70">
              <w:rPr>
                <w:lang w:eastAsia="en-US"/>
              </w:rPr>
              <w:t>)</w:t>
            </w:r>
          </w:p>
        </w:tc>
      </w:tr>
      <w:tr w:rsidR="004F211D" w:rsidRPr="000C4C70" w14:paraId="1D3AEBBC" w14:textId="77777777" w:rsidTr="006106CF">
        <w:trPr>
          <w:cantSplit/>
        </w:trPr>
        <w:tc>
          <w:tcPr>
            <w:tcW w:w="1135" w:type="pct"/>
            <w:vMerge/>
            <w:shd w:val="clear" w:color="auto" w:fill="auto"/>
            <w:vAlign w:val="center"/>
            <w:hideMark/>
          </w:tcPr>
          <w:p w14:paraId="4383B650" w14:textId="77777777" w:rsidR="004F211D" w:rsidRPr="000C4C70" w:rsidRDefault="004F211D" w:rsidP="00C025C1">
            <w:pPr>
              <w:jc w:val="center"/>
              <w:rPr>
                <w:bCs/>
                <w:lang w:eastAsia="en-US"/>
              </w:rPr>
            </w:pPr>
          </w:p>
        </w:tc>
        <w:tc>
          <w:tcPr>
            <w:tcW w:w="985" w:type="pct"/>
            <w:gridSpan w:val="2"/>
            <w:vMerge/>
            <w:shd w:val="clear" w:color="auto" w:fill="auto"/>
            <w:vAlign w:val="center"/>
            <w:hideMark/>
          </w:tcPr>
          <w:p w14:paraId="2EF5FEF1" w14:textId="77777777" w:rsidR="004F211D" w:rsidRPr="000C4C70" w:rsidRDefault="004F211D" w:rsidP="00C025C1">
            <w:pPr>
              <w:jc w:val="center"/>
              <w:rPr>
                <w:bCs/>
                <w:lang w:eastAsia="en-US"/>
              </w:rPr>
            </w:pPr>
          </w:p>
        </w:tc>
        <w:tc>
          <w:tcPr>
            <w:tcW w:w="1080" w:type="pct"/>
            <w:gridSpan w:val="3"/>
            <w:shd w:val="clear" w:color="auto" w:fill="FFFFFF"/>
            <w:vAlign w:val="center"/>
            <w:hideMark/>
          </w:tcPr>
          <w:p w14:paraId="2E424243" w14:textId="77777777" w:rsidR="004F211D" w:rsidRPr="000C4C70" w:rsidRDefault="004F211D" w:rsidP="00C025C1">
            <w:pPr>
              <w:jc w:val="center"/>
              <w:rPr>
                <w:bCs/>
                <w:lang w:eastAsia="en-US"/>
              </w:rPr>
            </w:pPr>
            <w:r w:rsidRPr="000C4C70">
              <w:rPr>
                <w:bCs/>
                <w:lang w:eastAsia="en-US"/>
              </w:rPr>
              <w:t>202</w:t>
            </w:r>
            <w:r>
              <w:rPr>
                <w:bCs/>
                <w:lang w:eastAsia="en-US"/>
              </w:rPr>
              <w:t>1</w:t>
            </w:r>
          </w:p>
        </w:tc>
        <w:tc>
          <w:tcPr>
            <w:tcW w:w="1140" w:type="pct"/>
            <w:gridSpan w:val="2"/>
            <w:shd w:val="clear" w:color="auto" w:fill="FFFFFF"/>
            <w:vAlign w:val="center"/>
            <w:hideMark/>
          </w:tcPr>
          <w:p w14:paraId="3EF4CE98" w14:textId="77777777" w:rsidR="004F211D" w:rsidRPr="000C4C70" w:rsidRDefault="004F211D" w:rsidP="00C025C1">
            <w:pPr>
              <w:jc w:val="center"/>
              <w:rPr>
                <w:bCs/>
                <w:lang w:eastAsia="en-US"/>
              </w:rPr>
            </w:pPr>
            <w:r w:rsidRPr="000C4C70">
              <w:rPr>
                <w:bCs/>
                <w:lang w:eastAsia="en-US"/>
              </w:rPr>
              <w:t>202</w:t>
            </w:r>
            <w:r>
              <w:rPr>
                <w:bCs/>
                <w:lang w:eastAsia="en-US"/>
              </w:rPr>
              <w:t>2</w:t>
            </w:r>
          </w:p>
        </w:tc>
        <w:tc>
          <w:tcPr>
            <w:tcW w:w="660" w:type="pct"/>
            <w:shd w:val="clear" w:color="auto" w:fill="FFFFFF"/>
            <w:vAlign w:val="center"/>
            <w:hideMark/>
          </w:tcPr>
          <w:p w14:paraId="50A67748" w14:textId="77777777" w:rsidR="004F211D" w:rsidRPr="000C4C70" w:rsidRDefault="004F211D" w:rsidP="00C025C1">
            <w:pPr>
              <w:jc w:val="center"/>
              <w:rPr>
                <w:bCs/>
                <w:lang w:eastAsia="en-US"/>
              </w:rPr>
            </w:pPr>
            <w:r w:rsidRPr="000C4C70">
              <w:rPr>
                <w:bCs/>
                <w:lang w:eastAsia="en-US"/>
              </w:rPr>
              <w:t>202</w:t>
            </w:r>
            <w:r>
              <w:rPr>
                <w:bCs/>
                <w:lang w:eastAsia="en-US"/>
              </w:rPr>
              <w:t>3</w:t>
            </w:r>
          </w:p>
        </w:tc>
      </w:tr>
      <w:tr w:rsidR="004F211D" w:rsidRPr="000C4C70" w14:paraId="4E842829" w14:textId="77777777" w:rsidTr="006106CF">
        <w:trPr>
          <w:cantSplit/>
        </w:trPr>
        <w:tc>
          <w:tcPr>
            <w:tcW w:w="1135" w:type="pct"/>
            <w:vMerge/>
            <w:shd w:val="clear" w:color="auto" w:fill="auto"/>
            <w:vAlign w:val="center"/>
            <w:hideMark/>
          </w:tcPr>
          <w:p w14:paraId="78725852" w14:textId="77777777" w:rsidR="004F211D" w:rsidRPr="000C4C70" w:rsidRDefault="004F211D" w:rsidP="00C025C1">
            <w:pPr>
              <w:jc w:val="center"/>
              <w:rPr>
                <w:b/>
                <w:bCs/>
                <w:lang w:eastAsia="en-US"/>
              </w:rPr>
            </w:pPr>
          </w:p>
        </w:tc>
        <w:tc>
          <w:tcPr>
            <w:tcW w:w="531" w:type="pct"/>
            <w:shd w:val="clear" w:color="auto" w:fill="FFFFFF"/>
            <w:vAlign w:val="center"/>
            <w:hideMark/>
          </w:tcPr>
          <w:p w14:paraId="55B33780" w14:textId="77777777" w:rsidR="004F211D" w:rsidRPr="000C4C70" w:rsidRDefault="004F211D" w:rsidP="00C025C1">
            <w:pPr>
              <w:jc w:val="center"/>
              <w:rPr>
                <w:lang w:eastAsia="en-US"/>
              </w:rPr>
            </w:pPr>
            <w:r w:rsidRPr="000C4C70">
              <w:rPr>
                <w:lang w:eastAsia="en-US"/>
              </w:rPr>
              <w:t>saskaņā ar valsts budžetu kārtējam gadam</w:t>
            </w:r>
          </w:p>
        </w:tc>
        <w:tc>
          <w:tcPr>
            <w:tcW w:w="454" w:type="pct"/>
            <w:shd w:val="clear" w:color="auto" w:fill="FFFFFF"/>
            <w:vAlign w:val="center"/>
            <w:hideMark/>
          </w:tcPr>
          <w:p w14:paraId="57651120" w14:textId="77777777" w:rsidR="004F211D" w:rsidRPr="000C4C70" w:rsidRDefault="004F211D" w:rsidP="00C025C1">
            <w:pPr>
              <w:jc w:val="center"/>
              <w:rPr>
                <w:lang w:eastAsia="en-US"/>
              </w:rPr>
            </w:pPr>
            <w:r w:rsidRPr="000C4C70">
              <w:rPr>
                <w:lang w:eastAsia="en-US"/>
              </w:rPr>
              <w:t>izmaiņas kārtējā gadā, salīdzinot ar valsts budžetu kārtējam gadam</w:t>
            </w:r>
          </w:p>
        </w:tc>
        <w:tc>
          <w:tcPr>
            <w:tcW w:w="531" w:type="pct"/>
            <w:shd w:val="clear" w:color="auto" w:fill="FFFFFF"/>
            <w:vAlign w:val="center"/>
            <w:hideMark/>
          </w:tcPr>
          <w:p w14:paraId="5B4EDA7B" w14:textId="77777777" w:rsidR="004F211D" w:rsidRPr="000C4C70" w:rsidRDefault="004F211D" w:rsidP="00C025C1">
            <w:pPr>
              <w:jc w:val="center"/>
              <w:rPr>
                <w:lang w:eastAsia="en-US"/>
              </w:rPr>
            </w:pPr>
            <w:r w:rsidRPr="000C4C70">
              <w:rPr>
                <w:lang w:eastAsia="en-US"/>
              </w:rPr>
              <w:t>saskaņā ar vidēja termiņa budžeta ietvaru</w:t>
            </w:r>
          </w:p>
        </w:tc>
        <w:tc>
          <w:tcPr>
            <w:tcW w:w="548" w:type="pct"/>
            <w:gridSpan w:val="2"/>
            <w:shd w:val="clear" w:color="auto" w:fill="FFFFFF"/>
            <w:vAlign w:val="center"/>
            <w:hideMark/>
          </w:tcPr>
          <w:p w14:paraId="7B208310" w14:textId="63374A6B" w:rsidR="004F211D" w:rsidRPr="000C4C70" w:rsidRDefault="004F211D" w:rsidP="00C025C1">
            <w:pPr>
              <w:jc w:val="center"/>
              <w:rPr>
                <w:lang w:eastAsia="en-US"/>
              </w:rPr>
            </w:pPr>
            <w:r w:rsidRPr="000C4C70">
              <w:rPr>
                <w:lang w:eastAsia="en-US"/>
              </w:rPr>
              <w:t>izmaiņas, salīdzinot ar vidēja termiņa budžeta ietvaru 202</w:t>
            </w:r>
            <w:r w:rsidR="0040624C">
              <w:rPr>
                <w:lang w:eastAsia="en-US"/>
              </w:rPr>
              <w:t>1</w:t>
            </w:r>
            <w:r w:rsidRPr="000C4C70">
              <w:rPr>
                <w:lang w:eastAsia="en-US"/>
              </w:rPr>
              <w:t>. gadam</w:t>
            </w:r>
          </w:p>
        </w:tc>
        <w:tc>
          <w:tcPr>
            <w:tcW w:w="552" w:type="pct"/>
            <w:shd w:val="clear" w:color="auto" w:fill="FFFFFF"/>
            <w:vAlign w:val="center"/>
            <w:hideMark/>
          </w:tcPr>
          <w:p w14:paraId="2950E99C" w14:textId="77777777" w:rsidR="004F211D" w:rsidRPr="000C4C70" w:rsidRDefault="004F211D" w:rsidP="00C025C1">
            <w:pPr>
              <w:jc w:val="center"/>
              <w:rPr>
                <w:lang w:eastAsia="en-US"/>
              </w:rPr>
            </w:pPr>
            <w:r w:rsidRPr="000C4C70">
              <w:rPr>
                <w:lang w:eastAsia="en-US"/>
              </w:rPr>
              <w:t>saskaņā ar vidēja termiņa budžeta ietvaru</w:t>
            </w:r>
          </w:p>
        </w:tc>
        <w:tc>
          <w:tcPr>
            <w:tcW w:w="588" w:type="pct"/>
            <w:shd w:val="clear" w:color="auto" w:fill="FFFFFF"/>
            <w:vAlign w:val="center"/>
            <w:hideMark/>
          </w:tcPr>
          <w:p w14:paraId="201ED59F" w14:textId="5B2EE66B" w:rsidR="004F211D" w:rsidRPr="000C4C70" w:rsidRDefault="004F211D" w:rsidP="0040624C">
            <w:pPr>
              <w:jc w:val="center"/>
              <w:rPr>
                <w:lang w:eastAsia="en-US"/>
              </w:rPr>
            </w:pPr>
            <w:r w:rsidRPr="000C4C70">
              <w:rPr>
                <w:lang w:eastAsia="en-US"/>
              </w:rPr>
              <w:t>izmaiņas, salīdzinot ar vidēja termiņa budžeta ietvaru 202</w:t>
            </w:r>
            <w:r w:rsidR="0040624C">
              <w:rPr>
                <w:lang w:eastAsia="en-US"/>
              </w:rPr>
              <w:t>2</w:t>
            </w:r>
            <w:r w:rsidRPr="000C4C70">
              <w:rPr>
                <w:lang w:eastAsia="en-US"/>
              </w:rPr>
              <w:t>. gadam</w:t>
            </w:r>
          </w:p>
        </w:tc>
        <w:tc>
          <w:tcPr>
            <w:tcW w:w="660" w:type="pct"/>
            <w:shd w:val="clear" w:color="auto" w:fill="FFFFFF"/>
            <w:vAlign w:val="center"/>
            <w:hideMark/>
          </w:tcPr>
          <w:p w14:paraId="59F60755" w14:textId="0950C56A" w:rsidR="004F211D" w:rsidRPr="000C4C70" w:rsidRDefault="004F211D" w:rsidP="00C025C1">
            <w:pPr>
              <w:jc w:val="center"/>
              <w:rPr>
                <w:lang w:eastAsia="en-US"/>
              </w:rPr>
            </w:pPr>
            <w:r w:rsidRPr="000C4C70">
              <w:rPr>
                <w:lang w:eastAsia="en-US"/>
              </w:rPr>
              <w:t xml:space="preserve">izmaiņas, salīdzinot ar vidēja termiņa budžeta ietvaru </w:t>
            </w:r>
            <w:r w:rsidRPr="000C4C70">
              <w:rPr>
                <w:lang w:eastAsia="en-US"/>
              </w:rPr>
              <w:br/>
              <w:t>202</w:t>
            </w:r>
            <w:r w:rsidR="00456E70">
              <w:rPr>
                <w:lang w:eastAsia="en-US"/>
              </w:rPr>
              <w:t>2</w:t>
            </w:r>
            <w:r w:rsidRPr="000C4C70">
              <w:rPr>
                <w:lang w:eastAsia="en-US"/>
              </w:rPr>
              <w:t>. gadam</w:t>
            </w:r>
          </w:p>
        </w:tc>
      </w:tr>
      <w:tr w:rsidR="004F211D" w:rsidRPr="000C4C70" w14:paraId="3966BC68" w14:textId="77777777" w:rsidTr="006106CF">
        <w:trPr>
          <w:cantSplit/>
        </w:trPr>
        <w:tc>
          <w:tcPr>
            <w:tcW w:w="1135" w:type="pct"/>
            <w:shd w:val="clear" w:color="auto" w:fill="FFFFFF"/>
            <w:vAlign w:val="center"/>
            <w:hideMark/>
          </w:tcPr>
          <w:p w14:paraId="3F059665" w14:textId="77777777" w:rsidR="004F211D" w:rsidRPr="000C4C70" w:rsidRDefault="004F211D" w:rsidP="00C025C1">
            <w:pPr>
              <w:jc w:val="center"/>
              <w:rPr>
                <w:lang w:eastAsia="en-US"/>
              </w:rPr>
            </w:pPr>
            <w:r w:rsidRPr="000C4C70">
              <w:rPr>
                <w:lang w:eastAsia="en-US"/>
              </w:rPr>
              <w:t>1</w:t>
            </w:r>
          </w:p>
        </w:tc>
        <w:tc>
          <w:tcPr>
            <w:tcW w:w="531" w:type="pct"/>
            <w:shd w:val="clear" w:color="auto" w:fill="FFFFFF"/>
            <w:vAlign w:val="center"/>
            <w:hideMark/>
          </w:tcPr>
          <w:p w14:paraId="546770F0" w14:textId="77777777" w:rsidR="004F211D" w:rsidRPr="000C4C70" w:rsidRDefault="004F211D" w:rsidP="00C025C1">
            <w:pPr>
              <w:jc w:val="center"/>
              <w:rPr>
                <w:lang w:eastAsia="en-US"/>
              </w:rPr>
            </w:pPr>
            <w:r w:rsidRPr="000C4C70">
              <w:rPr>
                <w:lang w:eastAsia="en-US"/>
              </w:rPr>
              <w:t>2</w:t>
            </w:r>
          </w:p>
        </w:tc>
        <w:tc>
          <w:tcPr>
            <w:tcW w:w="454" w:type="pct"/>
            <w:shd w:val="clear" w:color="auto" w:fill="FFFFFF"/>
            <w:vAlign w:val="center"/>
            <w:hideMark/>
          </w:tcPr>
          <w:p w14:paraId="1F6495A2" w14:textId="77777777" w:rsidR="004F211D" w:rsidRPr="000C4C70" w:rsidRDefault="004F211D" w:rsidP="00C025C1">
            <w:pPr>
              <w:jc w:val="center"/>
              <w:rPr>
                <w:lang w:eastAsia="en-US"/>
              </w:rPr>
            </w:pPr>
            <w:r w:rsidRPr="000C4C70">
              <w:rPr>
                <w:lang w:eastAsia="en-US"/>
              </w:rPr>
              <w:t>3</w:t>
            </w:r>
          </w:p>
        </w:tc>
        <w:tc>
          <w:tcPr>
            <w:tcW w:w="550" w:type="pct"/>
            <w:gridSpan w:val="2"/>
            <w:shd w:val="clear" w:color="auto" w:fill="FFFFFF"/>
            <w:vAlign w:val="center"/>
            <w:hideMark/>
          </w:tcPr>
          <w:p w14:paraId="70CD37A6" w14:textId="77777777" w:rsidR="004F211D" w:rsidRPr="000C4C70" w:rsidRDefault="004F211D" w:rsidP="00C025C1">
            <w:pPr>
              <w:jc w:val="center"/>
              <w:rPr>
                <w:lang w:eastAsia="en-US"/>
              </w:rPr>
            </w:pPr>
            <w:r w:rsidRPr="000C4C70">
              <w:rPr>
                <w:lang w:eastAsia="en-US"/>
              </w:rPr>
              <w:t>4</w:t>
            </w:r>
          </w:p>
        </w:tc>
        <w:tc>
          <w:tcPr>
            <w:tcW w:w="530" w:type="pct"/>
            <w:shd w:val="clear" w:color="auto" w:fill="FFFFFF"/>
            <w:vAlign w:val="center"/>
            <w:hideMark/>
          </w:tcPr>
          <w:p w14:paraId="0BDCC64E" w14:textId="77777777" w:rsidR="004F211D" w:rsidRPr="000C4C70" w:rsidRDefault="004F211D" w:rsidP="00C025C1">
            <w:pPr>
              <w:jc w:val="center"/>
              <w:rPr>
                <w:lang w:eastAsia="en-US"/>
              </w:rPr>
            </w:pPr>
            <w:r w:rsidRPr="000C4C70">
              <w:rPr>
                <w:lang w:eastAsia="en-US"/>
              </w:rPr>
              <w:t>5</w:t>
            </w:r>
          </w:p>
        </w:tc>
        <w:tc>
          <w:tcPr>
            <w:tcW w:w="552" w:type="pct"/>
            <w:shd w:val="clear" w:color="auto" w:fill="FFFFFF"/>
            <w:vAlign w:val="center"/>
            <w:hideMark/>
          </w:tcPr>
          <w:p w14:paraId="2FB06080" w14:textId="77777777" w:rsidR="004F211D" w:rsidRPr="000C4C70" w:rsidRDefault="004F211D" w:rsidP="00C025C1">
            <w:pPr>
              <w:jc w:val="center"/>
              <w:rPr>
                <w:lang w:eastAsia="en-US"/>
              </w:rPr>
            </w:pPr>
            <w:r w:rsidRPr="000C4C70">
              <w:rPr>
                <w:lang w:eastAsia="en-US"/>
              </w:rPr>
              <w:t>6</w:t>
            </w:r>
          </w:p>
        </w:tc>
        <w:tc>
          <w:tcPr>
            <w:tcW w:w="588" w:type="pct"/>
            <w:shd w:val="clear" w:color="auto" w:fill="FFFFFF"/>
            <w:vAlign w:val="center"/>
            <w:hideMark/>
          </w:tcPr>
          <w:p w14:paraId="1C72D0E4" w14:textId="77777777" w:rsidR="004F211D" w:rsidRPr="000C4C70" w:rsidRDefault="004F211D" w:rsidP="00C025C1">
            <w:pPr>
              <w:jc w:val="center"/>
              <w:rPr>
                <w:lang w:eastAsia="en-US"/>
              </w:rPr>
            </w:pPr>
            <w:r w:rsidRPr="000C4C70">
              <w:rPr>
                <w:lang w:eastAsia="en-US"/>
              </w:rPr>
              <w:t>7</w:t>
            </w:r>
          </w:p>
        </w:tc>
        <w:tc>
          <w:tcPr>
            <w:tcW w:w="660" w:type="pct"/>
            <w:shd w:val="clear" w:color="auto" w:fill="FFFFFF"/>
            <w:vAlign w:val="center"/>
            <w:hideMark/>
          </w:tcPr>
          <w:p w14:paraId="7BC46BC1" w14:textId="77777777" w:rsidR="004F211D" w:rsidRPr="000C4C70" w:rsidRDefault="004F211D" w:rsidP="00C025C1">
            <w:pPr>
              <w:jc w:val="center"/>
              <w:rPr>
                <w:lang w:eastAsia="en-US"/>
              </w:rPr>
            </w:pPr>
            <w:r w:rsidRPr="000C4C70">
              <w:rPr>
                <w:lang w:eastAsia="en-US"/>
              </w:rPr>
              <w:t>8</w:t>
            </w:r>
          </w:p>
        </w:tc>
      </w:tr>
      <w:tr w:rsidR="00A03FD1" w:rsidRPr="000C4C70" w14:paraId="7CF39466" w14:textId="77777777" w:rsidTr="006106CF">
        <w:trPr>
          <w:cantSplit/>
        </w:trPr>
        <w:tc>
          <w:tcPr>
            <w:tcW w:w="1135" w:type="pct"/>
            <w:shd w:val="clear" w:color="auto" w:fill="FFFFFF"/>
            <w:hideMark/>
          </w:tcPr>
          <w:p w14:paraId="3556ADD6" w14:textId="77777777" w:rsidR="00A03FD1" w:rsidRPr="000C4C70" w:rsidRDefault="00A03FD1" w:rsidP="00A03FD1">
            <w:pPr>
              <w:rPr>
                <w:lang w:eastAsia="en-US"/>
              </w:rPr>
            </w:pPr>
            <w:r w:rsidRPr="000C4C70">
              <w:rPr>
                <w:lang w:eastAsia="en-US"/>
              </w:rPr>
              <w:t>1. Budžeta ieņēmumi</w:t>
            </w:r>
          </w:p>
        </w:tc>
        <w:tc>
          <w:tcPr>
            <w:tcW w:w="531" w:type="pct"/>
            <w:shd w:val="clear" w:color="auto" w:fill="FFFFFF"/>
            <w:vAlign w:val="center"/>
            <w:hideMark/>
          </w:tcPr>
          <w:p w14:paraId="5957AC3A" w14:textId="34F1B83F" w:rsidR="00A03FD1" w:rsidRPr="000C4C70" w:rsidRDefault="00A03FD1" w:rsidP="00A03FD1">
            <w:pPr>
              <w:jc w:val="center"/>
              <w:rPr>
                <w:lang w:eastAsia="en-US"/>
              </w:rPr>
            </w:pPr>
            <w:r>
              <w:rPr>
                <w:lang w:eastAsia="en-US"/>
              </w:rPr>
              <w:t>2 884 931 000</w:t>
            </w:r>
          </w:p>
        </w:tc>
        <w:tc>
          <w:tcPr>
            <w:tcW w:w="454" w:type="pct"/>
            <w:shd w:val="clear" w:color="auto" w:fill="FFFFFF"/>
            <w:vAlign w:val="center"/>
            <w:hideMark/>
          </w:tcPr>
          <w:p w14:paraId="137723D6" w14:textId="3836158A" w:rsidR="00A03FD1" w:rsidRPr="000C4C70" w:rsidRDefault="00A03FD1" w:rsidP="00A03FD1">
            <w:pPr>
              <w:jc w:val="center"/>
              <w:rPr>
                <w:lang w:eastAsia="en-US"/>
              </w:rPr>
            </w:pPr>
            <w:r w:rsidRPr="000C4C70">
              <w:rPr>
                <w:lang w:eastAsia="en-US"/>
              </w:rPr>
              <w:t>0</w:t>
            </w:r>
          </w:p>
        </w:tc>
        <w:tc>
          <w:tcPr>
            <w:tcW w:w="550" w:type="pct"/>
            <w:gridSpan w:val="2"/>
            <w:shd w:val="clear" w:color="auto" w:fill="FFFFFF"/>
            <w:vAlign w:val="center"/>
          </w:tcPr>
          <w:p w14:paraId="5CA67865" w14:textId="0DE52202" w:rsidR="00A03FD1" w:rsidRPr="000C4C70" w:rsidRDefault="00A03FD1" w:rsidP="00A03FD1">
            <w:pPr>
              <w:jc w:val="center"/>
              <w:rPr>
                <w:lang w:eastAsia="en-US"/>
              </w:rPr>
            </w:pPr>
            <w:r>
              <w:rPr>
                <w:lang w:eastAsia="en-US"/>
              </w:rPr>
              <w:t>3 077 457 000</w:t>
            </w:r>
          </w:p>
        </w:tc>
        <w:tc>
          <w:tcPr>
            <w:tcW w:w="530" w:type="pct"/>
            <w:shd w:val="clear" w:color="auto" w:fill="FFFFFF"/>
            <w:vAlign w:val="center"/>
          </w:tcPr>
          <w:p w14:paraId="3E81FE9C" w14:textId="77777777" w:rsidR="00762ABF" w:rsidRDefault="00E5724A" w:rsidP="00A03FD1">
            <w:pPr>
              <w:ind w:right="-30"/>
              <w:rPr>
                <w:lang w:eastAsia="en-US"/>
              </w:rPr>
            </w:pPr>
            <w:r w:rsidRPr="00F42765">
              <w:rPr>
                <w:lang w:eastAsia="en-US"/>
              </w:rPr>
              <w:t>-3</w:t>
            </w:r>
            <w:r w:rsidR="00762ABF">
              <w:rPr>
                <w:lang w:eastAsia="en-US"/>
              </w:rPr>
              <w:t> </w:t>
            </w:r>
            <w:r w:rsidRPr="00F42765">
              <w:rPr>
                <w:lang w:eastAsia="en-US"/>
              </w:rPr>
              <w:t>000 </w:t>
            </w:r>
          </w:p>
          <w:p w14:paraId="7965A89C" w14:textId="64557BF9" w:rsidR="00A03FD1" w:rsidRPr="000C4C70" w:rsidRDefault="00E5724A" w:rsidP="00A03FD1">
            <w:pPr>
              <w:ind w:right="-30"/>
              <w:rPr>
                <w:lang w:eastAsia="en-US"/>
              </w:rPr>
            </w:pPr>
            <w:r w:rsidRPr="00F42765">
              <w:rPr>
                <w:lang w:eastAsia="en-US"/>
              </w:rPr>
              <w:t>000</w:t>
            </w:r>
          </w:p>
        </w:tc>
        <w:tc>
          <w:tcPr>
            <w:tcW w:w="552" w:type="pct"/>
            <w:shd w:val="clear" w:color="auto" w:fill="FFFFFF"/>
            <w:vAlign w:val="center"/>
          </w:tcPr>
          <w:p w14:paraId="4C02546B" w14:textId="2A565628" w:rsidR="00A03FD1" w:rsidRPr="000C4C70" w:rsidRDefault="00A03FD1" w:rsidP="00A03FD1">
            <w:pPr>
              <w:ind w:right="-30"/>
              <w:jc w:val="center"/>
              <w:rPr>
                <w:lang w:eastAsia="en-US"/>
              </w:rPr>
            </w:pPr>
            <w:r>
              <w:rPr>
                <w:lang w:eastAsia="en-US"/>
              </w:rPr>
              <w:t>3 276 821 000</w:t>
            </w:r>
          </w:p>
        </w:tc>
        <w:tc>
          <w:tcPr>
            <w:tcW w:w="588" w:type="pct"/>
            <w:shd w:val="clear" w:color="auto" w:fill="FFFFFF"/>
            <w:vAlign w:val="center"/>
          </w:tcPr>
          <w:p w14:paraId="421A0E89" w14:textId="57C53538" w:rsidR="00BF72A4" w:rsidRDefault="00BF72A4" w:rsidP="00A03FD1">
            <w:pPr>
              <w:ind w:right="-30"/>
              <w:jc w:val="center"/>
              <w:rPr>
                <w:lang w:eastAsia="en-US"/>
              </w:rPr>
            </w:pPr>
          </w:p>
          <w:p w14:paraId="106D6E82" w14:textId="6B65F94E" w:rsidR="00A03FD1" w:rsidRPr="000C4C70" w:rsidRDefault="00E5724A" w:rsidP="00A03FD1">
            <w:pPr>
              <w:ind w:right="-30"/>
              <w:jc w:val="center"/>
              <w:rPr>
                <w:lang w:eastAsia="en-US"/>
              </w:rPr>
            </w:pPr>
            <w:r w:rsidRPr="00E5724A">
              <w:rPr>
                <w:lang w:eastAsia="en-US"/>
              </w:rPr>
              <w:t>-3 000 000</w:t>
            </w:r>
          </w:p>
        </w:tc>
        <w:tc>
          <w:tcPr>
            <w:tcW w:w="660" w:type="pct"/>
            <w:shd w:val="clear" w:color="auto" w:fill="FFFFFF"/>
            <w:vAlign w:val="center"/>
          </w:tcPr>
          <w:p w14:paraId="0EE70875" w14:textId="145BEE3E" w:rsidR="00F42765" w:rsidRDefault="00F42765" w:rsidP="00A03FD1">
            <w:pPr>
              <w:ind w:right="-30"/>
              <w:jc w:val="center"/>
              <w:rPr>
                <w:lang w:eastAsia="en-US"/>
              </w:rPr>
            </w:pPr>
            <w:r>
              <w:rPr>
                <w:lang w:eastAsia="en-US"/>
              </w:rPr>
              <w:t> </w:t>
            </w:r>
          </w:p>
          <w:p w14:paraId="51351857" w14:textId="16B10C9D" w:rsidR="00A03FD1" w:rsidRPr="000C4C70" w:rsidRDefault="00F42765" w:rsidP="00AA22D7">
            <w:pPr>
              <w:ind w:right="-30"/>
              <w:jc w:val="center"/>
              <w:rPr>
                <w:lang w:eastAsia="en-US"/>
              </w:rPr>
            </w:pPr>
            <w:r w:rsidRPr="00506D0F">
              <w:rPr>
                <w:lang w:eastAsia="en-US"/>
              </w:rPr>
              <w:t>-</w:t>
            </w:r>
            <w:r w:rsidR="00AA22D7">
              <w:rPr>
                <w:lang w:eastAsia="en-US"/>
              </w:rPr>
              <w:t>3 000 000</w:t>
            </w:r>
          </w:p>
        </w:tc>
      </w:tr>
      <w:tr w:rsidR="00A03FD1" w:rsidRPr="000C4C70" w14:paraId="462E8E1C" w14:textId="77777777" w:rsidTr="006106CF">
        <w:trPr>
          <w:cantSplit/>
        </w:trPr>
        <w:tc>
          <w:tcPr>
            <w:tcW w:w="1135" w:type="pct"/>
            <w:shd w:val="clear" w:color="auto" w:fill="auto"/>
            <w:hideMark/>
          </w:tcPr>
          <w:p w14:paraId="2791023F" w14:textId="77777777" w:rsidR="00A03FD1" w:rsidRPr="000C4C70" w:rsidRDefault="00A03FD1" w:rsidP="00A03FD1">
            <w:pPr>
              <w:rPr>
                <w:lang w:eastAsia="en-US"/>
              </w:rPr>
            </w:pPr>
            <w:r w:rsidRPr="000C4C70">
              <w:rPr>
                <w:lang w:eastAsia="en-US"/>
              </w:rPr>
              <w:lastRenderedPageBreak/>
              <w:t>1.1. valsts pamatbudžets, tai skaitā ieņēmumi no maksas pakalpojumiem un citi pašu ieņēmumi</w:t>
            </w:r>
          </w:p>
        </w:tc>
        <w:tc>
          <w:tcPr>
            <w:tcW w:w="531" w:type="pct"/>
            <w:shd w:val="clear" w:color="auto" w:fill="auto"/>
            <w:vAlign w:val="center"/>
            <w:hideMark/>
          </w:tcPr>
          <w:p w14:paraId="010FE1AA" w14:textId="4D34158C" w:rsidR="00A03FD1" w:rsidRPr="000C4C70" w:rsidRDefault="00A03FD1" w:rsidP="00A03FD1">
            <w:pPr>
              <w:jc w:val="center"/>
              <w:rPr>
                <w:lang w:eastAsia="en-US"/>
              </w:rPr>
            </w:pPr>
            <w:r>
              <w:rPr>
                <w:lang w:eastAsia="en-US"/>
              </w:rPr>
              <w:t>2 884 931 000</w:t>
            </w:r>
          </w:p>
        </w:tc>
        <w:tc>
          <w:tcPr>
            <w:tcW w:w="454" w:type="pct"/>
            <w:shd w:val="clear" w:color="auto" w:fill="auto"/>
            <w:vAlign w:val="center"/>
            <w:hideMark/>
          </w:tcPr>
          <w:p w14:paraId="5950E1C4" w14:textId="622B6D9B" w:rsidR="00A03FD1" w:rsidRPr="000C4C70" w:rsidRDefault="00A03FD1" w:rsidP="00A03FD1">
            <w:pPr>
              <w:jc w:val="center"/>
              <w:rPr>
                <w:lang w:eastAsia="en-US"/>
              </w:rPr>
            </w:pPr>
            <w:r w:rsidRPr="000C4C70">
              <w:rPr>
                <w:lang w:eastAsia="en-US"/>
              </w:rPr>
              <w:t>0</w:t>
            </w:r>
          </w:p>
        </w:tc>
        <w:tc>
          <w:tcPr>
            <w:tcW w:w="550" w:type="pct"/>
            <w:gridSpan w:val="2"/>
            <w:shd w:val="clear" w:color="auto" w:fill="auto"/>
            <w:vAlign w:val="center"/>
          </w:tcPr>
          <w:p w14:paraId="0EF20016" w14:textId="3718B3AB" w:rsidR="00A03FD1" w:rsidRPr="000C4C70" w:rsidRDefault="00A03FD1" w:rsidP="00A03FD1">
            <w:pPr>
              <w:jc w:val="center"/>
              <w:rPr>
                <w:lang w:eastAsia="en-US"/>
              </w:rPr>
            </w:pPr>
            <w:r>
              <w:rPr>
                <w:lang w:eastAsia="en-US"/>
              </w:rPr>
              <w:t>3 077 457 000</w:t>
            </w:r>
          </w:p>
        </w:tc>
        <w:tc>
          <w:tcPr>
            <w:tcW w:w="530" w:type="pct"/>
            <w:shd w:val="clear" w:color="auto" w:fill="auto"/>
            <w:vAlign w:val="center"/>
          </w:tcPr>
          <w:p w14:paraId="36CD39FD" w14:textId="77777777" w:rsidR="00762ABF" w:rsidRDefault="00E50057" w:rsidP="00A03FD1">
            <w:pPr>
              <w:rPr>
                <w:lang w:eastAsia="en-US"/>
              </w:rPr>
            </w:pPr>
            <w:r>
              <w:rPr>
                <w:lang w:eastAsia="en-US"/>
              </w:rPr>
              <w:t xml:space="preserve"> </w:t>
            </w:r>
            <w:r w:rsidR="00E5724A" w:rsidRPr="00F42765">
              <w:rPr>
                <w:lang w:eastAsia="en-US"/>
              </w:rPr>
              <w:t>-3</w:t>
            </w:r>
            <w:r w:rsidR="00762ABF">
              <w:rPr>
                <w:lang w:eastAsia="en-US"/>
              </w:rPr>
              <w:t> </w:t>
            </w:r>
            <w:r w:rsidR="00E5724A" w:rsidRPr="00F42765">
              <w:rPr>
                <w:lang w:eastAsia="en-US"/>
              </w:rPr>
              <w:t>000 </w:t>
            </w:r>
          </w:p>
          <w:p w14:paraId="74FA0FCD" w14:textId="4484D431" w:rsidR="00A03FD1" w:rsidRPr="000C4C70" w:rsidRDefault="00E5724A" w:rsidP="00A03FD1">
            <w:pPr>
              <w:rPr>
                <w:lang w:eastAsia="en-US"/>
              </w:rPr>
            </w:pPr>
            <w:r w:rsidRPr="00F42765">
              <w:rPr>
                <w:lang w:eastAsia="en-US"/>
              </w:rPr>
              <w:t>000</w:t>
            </w:r>
          </w:p>
        </w:tc>
        <w:tc>
          <w:tcPr>
            <w:tcW w:w="552" w:type="pct"/>
            <w:shd w:val="clear" w:color="auto" w:fill="auto"/>
            <w:vAlign w:val="center"/>
          </w:tcPr>
          <w:p w14:paraId="383D1413" w14:textId="49B1713A" w:rsidR="00A03FD1" w:rsidRPr="000C4C70" w:rsidRDefault="00A03FD1" w:rsidP="00A03FD1">
            <w:pPr>
              <w:jc w:val="center"/>
              <w:rPr>
                <w:lang w:eastAsia="en-US"/>
              </w:rPr>
            </w:pPr>
            <w:r>
              <w:rPr>
                <w:lang w:eastAsia="en-US"/>
              </w:rPr>
              <w:t>3 276 821 000</w:t>
            </w:r>
          </w:p>
        </w:tc>
        <w:tc>
          <w:tcPr>
            <w:tcW w:w="588" w:type="pct"/>
            <w:shd w:val="clear" w:color="auto" w:fill="auto"/>
            <w:vAlign w:val="center"/>
          </w:tcPr>
          <w:p w14:paraId="248CD15C" w14:textId="46440376" w:rsidR="00BF72A4" w:rsidRDefault="00BF72A4" w:rsidP="00A03FD1">
            <w:pPr>
              <w:ind w:right="-6"/>
              <w:jc w:val="center"/>
              <w:rPr>
                <w:lang w:eastAsia="en-US"/>
              </w:rPr>
            </w:pPr>
          </w:p>
          <w:p w14:paraId="1A37E643" w14:textId="21E9E1EC" w:rsidR="00A03FD1" w:rsidRPr="000C4C70" w:rsidRDefault="00E5724A" w:rsidP="00A03FD1">
            <w:pPr>
              <w:ind w:right="-6"/>
              <w:jc w:val="center"/>
              <w:rPr>
                <w:lang w:eastAsia="en-US"/>
              </w:rPr>
            </w:pPr>
            <w:r w:rsidRPr="00E5724A">
              <w:rPr>
                <w:lang w:eastAsia="en-US"/>
              </w:rPr>
              <w:t>-3 000 000</w:t>
            </w:r>
          </w:p>
        </w:tc>
        <w:tc>
          <w:tcPr>
            <w:tcW w:w="660" w:type="pct"/>
            <w:shd w:val="clear" w:color="auto" w:fill="auto"/>
            <w:vAlign w:val="center"/>
          </w:tcPr>
          <w:p w14:paraId="26B858A8" w14:textId="0FF933A1" w:rsidR="00A03FD1" w:rsidRDefault="00F42765" w:rsidP="00A03FD1">
            <w:pPr>
              <w:jc w:val="center"/>
              <w:rPr>
                <w:lang w:eastAsia="en-US"/>
              </w:rPr>
            </w:pPr>
            <w:r>
              <w:rPr>
                <w:lang w:eastAsia="en-US"/>
              </w:rPr>
              <w:t> </w:t>
            </w:r>
          </w:p>
          <w:p w14:paraId="6D894525" w14:textId="49F92943" w:rsidR="00F42765" w:rsidRPr="000C4C70" w:rsidRDefault="00AA22D7" w:rsidP="00A03FD1">
            <w:pPr>
              <w:jc w:val="center"/>
              <w:rPr>
                <w:lang w:eastAsia="en-US"/>
              </w:rPr>
            </w:pPr>
            <w:r>
              <w:rPr>
                <w:lang w:eastAsia="en-US"/>
              </w:rPr>
              <w:t>-</w:t>
            </w:r>
            <w:r w:rsidRPr="00AA22D7">
              <w:rPr>
                <w:lang w:eastAsia="en-US"/>
              </w:rPr>
              <w:t>3 000 000</w:t>
            </w:r>
          </w:p>
        </w:tc>
      </w:tr>
      <w:tr w:rsidR="004F211D" w:rsidRPr="000C4C70" w14:paraId="5227F716" w14:textId="77777777" w:rsidTr="006106CF">
        <w:trPr>
          <w:cantSplit/>
        </w:trPr>
        <w:tc>
          <w:tcPr>
            <w:tcW w:w="1135" w:type="pct"/>
            <w:shd w:val="clear" w:color="auto" w:fill="auto"/>
            <w:hideMark/>
          </w:tcPr>
          <w:p w14:paraId="030E90C8" w14:textId="77777777" w:rsidR="004F211D" w:rsidRPr="000C4C70" w:rsidRDefault="004F211D" w:rsidP="00C025C1">
            <w:pPr>
              <w:rPr>
                <w:lang w:eastAsia="en-US"/>
              </w:rPr>
            </w:pPr>
            <w:r w:rsidRPr="000C4C70">
              <w:rPr>
                <w:lang w:eastAsia="en-US"/>
              </w:rPr>
              <w:t>1.2. valsts speciālais budžets</w:t>
            </w:r>
          </w:p>
        </w:tc>
        <w:tc>
          <w:tcPr>
            <w:tcW w:w="531" w:type="pct"/>
            <w:shd w:val="clear" w:color="auto" w:fill="auto"/>
            <w:vAlign w:val="center"/>
            <w:hideMark/>
          </w:tcPr>
          <w:p w14:paraId="60D4FC81" w14:textId="77777777" w:rsidR="004F211D" w:rsidRPr="000C4C70" w:rsidRDefault="004F211D" w:rsidP="00C025C1">
            <w:pPr>
              <w:jc w:val="center"/>
              <w:rPr>
                <w:lang w:eastAsia="en-US"/>
              </w:rPr>
            </w:pPr>
            <w:r w:rsidRPr="000C4C70">
              <w:rPr>
                <w:lang w:eastAsia="en-US"/>
              </w:rPr>
              <w:t>0</w:t>
            </w:r>
          </w:p>
        </w:tc>
        <w:tc>
          <w:tcPr>
            <w:tcW w:w="454" w:type="pct"/>
            <w:shd w:val="clear" w:color="auto" w:fill="auto"/>
            <w:vAlign w:val="center"/>
            <w:hideMark/>
          </w:tcPr>
          <w:p w14:paraId="65E7D561" w14:textId="77777777" w:rsidR="004F211D" w:rsidRPr="000C4C70" w:rsidRDefault="004F211D" w:rsidP="00C025C1">
            <w:pPr>
              <w:jc w:val="center"/>
              <w:rPr>
                <w:lang w:eastAsia="en-US"/>
              </w:rPr>
            </w:pPr>
            <w:r w:rsidRPr="000C4C70">
              <w:rPr>
                <w:lang w:eastAsia="en-US"/>
              </w:rPr>
              <w:t>0</w:t>
            </w:r>
          </w:p>
        </w:tc>
        <w:tc>
          <w:tcPr>
            <w:tcW w:w="550" w:type="pct"/>
            <w:gridSpan w:val="2"/>
            <w:shd w:val="clear" w:color="auto" w:fill="auto"/>
            <w:vAlign w:val="center"/>
            <w:hideMark/>
          </w:tcPr>
          <w:p w14:paraId="09F1C607" w14:textId="77777777" w:rsidR="004F211D" w:rsidRPr="000C4C70" w:rsidRDefault="004F211D" w:rsidP="00C025C1">
            <w:pPr>
              <w:jc w:val="center"/>
              <w:rPr>
                <w:lang w:eastAsia="en-US"/>
              </w:rPr>
            </w:pPr>
            <w:r w:rsidRPr="000C4C70">
              <w:rPr>
                <w:lang w:eastAsia="en-US"/>
              </w:rPr>
              <w:t>0</w:t>
            </w:r>
          </w:p>
        </w:tc>
        <w:tc>
          <w:tcPr>
            <w:tcW w:w="530" w:type="pct"/>
            <w:shd w:val="clear" w:color="auto" w:fill="auto"/>
            <w:vAlign w:val="center"/>
            <w:hideMark/>
          </w:tcPr>
          <w:p w14:paraId="1B46C194" w14:textId="77777777" w:rsidR="004F211D" w:rsidRPr="000C4C70" w:rsidRDefault="004F211D" w:rsidP="00C025C1">
            <w:pPr>
              <w:ind w:left="-24"/>
              <w:jc w:val="center"/>
              <w:rPr>
                <w:lang w:eastAsia="en-US"/>
              </w:rPr>
            </w:pPr>
            <w:r w:rsidRPr="000C4C70">
              <w:rPr>
                <w:lang w:eastAsia="en-US"/>
              </w:rPr>
              <w:t>0</w:t>
            </w:r>
          </w:p>
        </w:tc>
        <w:tc>
          <w:tcPr>
            <w:tcW w:w="552" w:type="pct"/>
            <w:shd w:val="clear" w:color="auto" w:fill="auto"/>
            <w:vAlign w:val="center"/>
            <w:hideMark/>
          </w:tcPr>
          <w:p w14:paraId="047D05BD" w14:textId="77777777" w:rsidR="004F211D" w:rsidRPr="000C4C70" w:rsidRDefault="004F211D" w:rsidP="00C025C1">
            <w:pPr>
              <w:jc w:val="center"/>
              <w:rPr>
                <w:lang w:eastAsia="en-US"/>
              </w:rPr>
            </w:pPr>
            <w:r w:rsidRPr="000C4C70">
              <w:rPr>
                <w:lang w:eastAsia="en-US"/>
              </w:rPr>
              <w:t>0</w:t>
            </w:r>
          </w:p>
        </w:tc>
        <w:tc>
          <w:tcPr>
            <w:tcW w:w="588" w:type="pct"/>
            <w:shd w:val="clear" w:color="auto" w:fill="auto"/>
            <w:vAlign w:val="center"/>
            <w:hideMark/>
          </w:tcPr>
          <w:p w14:paraId="4B51D543" w14:textId="77777777" w:rsidR="004F211D" w:rsidRPr="000C4C70" w:rsidRDefault="004F211D" w:rsidP="00C025C1">
            <w:pPr>
              <w:ind w:right="-6"/>
              <w:jc w:val="center"/>
              <w:rPr>
                <w:lang w:eastAsia="en-US"/>
              </w:rPr>
            </w:pPr>
            <w:r w:rsidRPr="000C4C70">
              <w:rPr>
                <w:lang w:eastAsia="en-US"/>
              </w:rPr>
              <w:t>0</w:t>
            </w:r>
          </w:p>
        </w:tc>
        <w:tc>
          <w:tcPr>
            <w:tcW w:w="660" w:type="pct"/>
            <w:shd w:val="clear" w:color="auto" w:fill="auto"/>
            <w:vAlign w:val="center"/>
            <w:hideMark/>
          </w:tcPr>
          <w:p w14:paraId="1D6F4E9F" w14:textId="77777777" w:rsidR="004F211D" w:rsidRPr="000C4C70" w:rsidRDefault="004F211D" w:rsidP="00C025C1">
            <w:pPr>
              <w:jc w:val="center"/>
              <w:rPr>
                <w:lang w:eastAsia="en-US"/>
              </w:rPr>
            </w:pPr>
            <w:r w:rsidRPr="000C4C70">
              <w:rPr>
                <w:lang w:eastAsia="en-US"/>
              </w:rPr>
              <w:t>0</w:t>
            </w:r>
          </w:p>
        </w:tc>
      </w:tr>
      <w:tr w:rsidR="004F211D" w:rsidRPr="000C4C70" w14:paraId="4E872F04" w14:textId="77777777" w:rsidTr="006106CF">
        <w:trPr>
          <w:cantSplit/>
        </w:trPr>
        <w:tc>
          <w:tcPr>
            <w:tcW w:w="1135" w:type="pct"/>
            <w:shd w:val="clear" w:color="auto" w:fill="auto"/>
            <w:hideMark/>
          </w:tcPr>
          <w:p w14:paraId="623EF236" w14:textId="77777777" w:rsidR="004F211D" w:rsidRPr="000C4C70" w:rsidRDefault="004F211D" w:rsidP="00C025C1">
            <w:pPr>
              <w:rPr>
                <w:lang w:eastAsia="en-US"/>
              </w:rPr>
            </w:pPr>
            <w:r w:rsidRPr="000C4C70">
              <w:rPr>
                <w:lang w:eastAsia="en-US"/>
              </w:rPr>
              <w:t>1.3. pašvaldību budžets</w:t>
            </w:r>
          </w:p>
        </w:tc>
        <w:tc>
          <w:tcPr>
            <w:tcW w:w="531" w:type="pct"/>
            <w:shd w:val="clear" w:color="auto" w:fill="auto"/>
            <w:vAlign w:val="center"/>
            <w:hideMark/>
          </w:tcPr>
          <w:p w14:paraId="23DEFF0D" w14:textId="77777777" w:rsidR="004F211D" w:rsidRPr="000C4C70" w:rsidRDefault="004F211D" w:rsidP="00C025C1">
            <w:pPr>
              <w:jc w:val="center"/>
              <w:rPr>
                <w:lang w:eastAsia="en-US"/>
              </w:rPr>
            </w:pPr>
            <w:r w:rsidRPr="000C4C70">
              <w:rPr>
                <w:lang w:eastAsia="en-US"/>
              </w:rPr>
              <w:t>0</w:t>
            </w:r>
          </w:p>
        </w:tc>
        <w:tc>
          <w:tcPr>
            <w:tcW w:w="454" w:type="pct"/>
            <w:shd w:val="clear" w:color="auto" w:fill="auto"/>
            <w:vAlign w:val="center"/>
            <w:hideMark/>
          </w:tcPr>
          <w:p w14:paraId="3CEB4BBF" w14:textId="77777777" w:rsidR="004F211D" w:rsidRPr="000C4C70" w:rsidRDefault="004F211D" w:rsidP="00C025C1">
            <w:pPr>
              <w:jc w:val="center"/>
              <w:rPr>
                <w:lang w:eastAsia="en-US"/>
              </w:rPr>
            </w:pPr>
            <w:r w:rsidRPr="000C4C70">
              <w:rPr>
                <w:lang w:eastAsia="en-US"/>
              </w:rPr>
              <w:t>0</w:t>
            </w:r>
          </w:p>
        </w:tc>
        <w:tc>
          <w:tcPr>
            <w:tcW w:w="550" w:type="pct"/>
            <w:gridSpan w:val="2"/>
            <w:shd w:val="clear" w:color="auto" w:fill="auto"/>
            <w:vAlign w:val="center"/>
            <w:hideMark/>
          </w:tcPr>
          <w:p w14:paraId="29C5B6CE" w14:textId="77777777" w:rsidR="004F211D" w:rsidRPr="000C4C70" w:rsidRDefault="004F211D" w:rsidP="00C025C1">
            <w:pPr>
              <w:jc w:val="center"/>
              <w:rPr>
                <w:lang w:eastAsia="en-US"/>
              </w:rPr>
            </w:pPr>
            <w:r w:rsidRPr="000C4C70">
              <w:rPr>
                <w:lang w:eastAsia="en-US"/>
              </w:rPr>
              <w:t>0</w:t>
            </w:r>
          </w:p>
        </w:tc>
        <w:tc>
          <w:tcPr>
            <w:tcW w:w="530" w:type="pct"/>
            <w:shd w:val="clear" w:color="auto" w:fill="auto"/>
            <w:vAlign w:val="center"/>
            <w:hideMark/>
          </w:tcPr>
          <w:p w14:paraId="2102BD34" w14:textId="77777777" w:rsidR="004F211D" w:rsidRPr="000C4C70" w:rsidRDefault="004F211D" w:rsidP="00C025C1">
            <w:pPr>
              <w:jc w:val="center"/>
              <w:rPr>
                <w:lang w:eastAsia="en-US"/>
              </w:rPr>
            </w:pPr>
            <w:r w:rsidRPr="000C4C70">
              <w:rPr>
                <w:lang w:eastAsia="en-US"/>
              </w:rPr>
              <w:t>0</w:t>
            </w:r>
          </w:p>
        </w:tc>
        <w:tc>
          <w:tcPr>
            <w:tcW w:w="552" w:type="pct"/>
            <w:shd w:val="clear" w:color="auto" w:fill="auto"/>
            <w:vAlign w:val="center"/>
            <w:hideMark/>
          </w:tcPr>
          <w:p w14:paraId="0121287F" w14:textId="77777777" w:rsidR="004F211D" w:rsidRPr="000C4C70" w:rsidRDefault="004F211D" w:rsidP="00C025C1">
            <w:pPr>
              <w:jc w:val="center"/>
              <w:rPr>
                <w:lang w:eastAsia="en-US"/>
              </w:rPr>
            </w:pPr>
            <w:r w:rsidRPr="000C4C70">
              <w:rPr>
                <w:lang w:eastAsia="en-US"/>
              </w:rPr>
              <w:t>0</w:t>
            </w:r>
          </w:p>
        </w:tc>
        <w:tc>
          <w:tcPr>
            <w:tcW w:w="588" w:type="pct"/>
            <w:shd w:val="clear" w:color="auto" w:fill="auto"/>
            <w:vAlign w:val="center"/>
            <w:hideMark/>
          </w:tcPr>
          <w:p w14:paraId="701B30E1" w14:textId="77777777" w:rsidR="004F211D" w:rsidRPr="000C4C70" w:rsidRDefault="004F211D" w:rsidP="00C025C1">
            <w:pPr>
              <w:ind w:right="-6"/>
              <w:jc w:val="center"/>
              <w:rPr>
                <w:lang w:eastAsia="en-US"/>
              </w:rPr>
            </w:pPr>
            <w:r w:rsidRPr="000C4C70">
              <w:rPr>
                <w:lang w:eastAsia="en-US"/>
              </w:rPr>
              <w:t>0</w:t>
            </w:r>
          </w:p>
        </w:tc>
        <w:tc>
          <w:tcPr>
            <w:tcW w:w="660" w:type="pct"/>
            <w:shd w:val="clear" w:color="auto" w:fill="auto"/>
            <w:vAlign w:val="center"/>
            <w:hideMark/>
          </w:tcPr>
          <w:p w14:paraId="5E2F100A" w14:textId="77777777" w:rsidR="004F211D" w:rsidRPr="000C4C70" w:rsidRDefault="004F211D" w:rsidP="00C025C1">
            <w:pPr>
              <w:jc w:val="center"/>
              <w:rPr>
                <w:lang w:eastAsia="en-US"/>
              </w:rPr>
            </w:pPr>
            <w:r w:rsidRPr="000C4C70">
              <w:rPr>
                <w:lang w:eastAsia="en-US"/>
              </w:rPr>
              <w:t>0</w:t>
            </w:r>
          </w:p>
        </w:tc>
      </w:tr>
      <w:tr w:rsidR="004F211D" w:rsidRPr="000C4C70" w14:paraId="09060DC1" w14:textId="77777777" w:rsidTr="006106CF">
        <w:trPr>
          <w:cantSplit/>
        </w:trPr>
        <w:tc>
          <w:tcPr>
            <w:tcW w:w="1135" w:type="pct"/>
            <w:shd w:val="clear" w:color="auto" w:fill="auto"/>
            <w:hideMark/>
          </w:tcPr>
          <w:p w14:paraId="33238F0F" w14:textId="77777777" w:rsidR="004F211D" w:rsidRPr="000C4C70" w:rsidRDefault="004F211D" w:rsidP="00C025C1">
            <w:pPr>
              <w:rPr>
                <w:lang w:eastAsia="en-US"/>
              </w:rPr>
            </w:pPr>
            <w:r w:rsidRPr="000C4C70">
              <w:rPr>
                <w:lang w:eastAsia="en-US"/>
              </w:rPr>
              <w:t>2. Budžeta izdevumi</w:t>
            </w:r>
          </w:p>
        </w:tc>
        <w:tc>
          <w:tcPr>
            <w:tcW w:w="531" w:type="pct"/>
            <w:shd w:val="clear" w:color="auto" w:fill="auto"/>
            <w:vAlign w:val="center"/>
            <w:hideMark/>
          </w:tcPr>
          <w:p w14:paraId="76340DC9" w14:textId="3AFCAFA5" w:rsidR="004F211D" w:rsidRPr="000C4C70" w:rsidRDefault="004F211D" w:rsidP="00303A1D">
            <w:pPr>
              <w:jc w:val="center"/>
              <w:rPr>
                <w:lang w:eastAsia="en-US"/>
              </w:rPr>
            </w:pPr>
            <w:r w:rsidRPr="000C4C70">
              <w:rPr>
                <w:lang w:eastAsia="en-US"/>
              </w:rPr>
              <w:t>0</w:t>
            </w:r>
          </w:p>
        </w:tc>
        <w:tc>
          <w:tcPr>
            <w:tcW w:w="454" w:type="pct"/>
            <w:shd w:val="clear" w:color="auto" w:fill="auto"/>
            <w:vAlign w:val="center"/>
            <w:hideMark/>
          </w:tcPr>
          <w:p w14:paraId="4601C1F8" w14:textId="314A7595" w:rsidR="004F211D" w:rsidRPr="000C4C70" w:rsidRDefault="00303A1D" w:rsidP="00C025C1">
            <w:pPr>
              <w:jc w:val="center"/>
              <w:rPr>
                <w:lang w:eastAsia="en-US"/>
              </w:rPr>
            </w:pPr>
            <w:r>
              <w:rPr>
                <w:lang w:eastAsia="en-US"/>
              </w:rPr>
              <w:t>18 062</w:t>
            </w:r>
          </w:p>
        </w:tc>
        <w:tc>
          <w:tcPr>
            <w:tcW w:w="550" w:type="pct"/>
            <w:gridSpan w:val="2"/>
            <w:shd w:val="clear" w:color="auto" w:fill="auto"/>
            <w:vAlign w:val="center"/>
            <w:hideMark/>
          </w:tcPr>
          <w:p w14:paraId="4C7B1AF0" w14:textId="77777777" w:rsidR="004F211D" w:rsidRPr="000C4C70" w:rsidRDefault="004F211D" w:rsidP="00C025C1">
            <w:pPr>
              <w:jc w:val="center"/>
              <w:rPr>
                <w:lang w:eastAsia="en-US"/>
              </w:rPr>
            </w:pPr>
            <w:r w:rsidRPr="000C4C70">
              <w:rPr>
                <w:lang w:eastAsia="en-US"/>
              </w:rPr>
              <w:t>0</w:t>
            </w:r>
          </w:p>
        </w:tc>
        <w:tc>
          <w:tcPr>
            <w:tcW w:w="530" w:type="pct"/>
            <w:shd w:val="clear" w:color="auto" w:fill="auto"/>
            <w:vAlign w:val="center"/>
            <w:hideMark/>
          </w:tcPr>
          <w:p w14:paraId="29C54CD8" w14:textId="77777777" w:rsidR="004F211D" w:rsidRPr="000C4C70" w:rsidRDefault="004F211D" w:rsidP="00C025C1">
            <w:pPr>
              <w:jc w:val="center"/>
              <w:rPr>
                <w:lang w:eastAsia="en-US"/>
              </w:rPr>
            </w:pPr>
            <w:r w:rsidRPr="000C4C70">
              <w:rPr>
                <w:lang w:eastAsia="en-US"/>
              </w:rPr>
              <w:t>0</w:t>
            </w:r>
          </w:p>
        </w:tc>
        <w:tc>
          <w:tcPr>
            <w:tcW w:w="552" w:type="pct"/>
            <w:shd w:val="clear" w:color="auto" w:fill="auto"/>
            <w:vAlign w:val="center"/>
          </w:tcPr>
          <w:p w14:paraId="1121C447" w14:textId="77777777" w:rsidR="004F211D" w:rsidRPr="000C4C70" w:rsidRDefault="004F211D" w:rsidP="00C025C1">
            <w:pPr>
              <w:jc w:val="center"/>
              <w:rPr>
                <w:lang w:eastAsia="en-US"/>
              </w:rPr>
            </w:pPr>
            <w:r w:rsidRPr="000C4C70">
              <w:rPr>
                <w:lang w:eastAsia="en-US"/>
              </w:rPr>
              <w:t>0</w:t>
            </w:r>
          </w:p>
        </w:tc>
        <w:tc>
          <w:tcPr>
            <w:tcW w:w="588" w:type="pct"/>
            <w:shd w:val="clear" w:color="auto" w:fill="auto"/>
            <w:vAlign w:val="center"/>
          </w:tcPr>
          <w:p w14:paraId="5773880C" w14:textId="77777777" w:rsidR="004F211D" w:rsidRPr="000C4C70" w:rsidRDefault="004F211D" w:rsidP="00C025C1">
            <w:pPr>
              <w:ind w:right="-6"/>
              <w:jc w:val="center"/>
              <w:rPr>
                <w:lang w:eastAsia="en-US"/>
              </w:rPr>
            </w:pPr>
            <w:r w:rsidRPr="000C4C70">
              <w:rPr>
                <w:lang w:eastAsia="en-US"/>
              </w:rPr>
              <w:t>0</w:t>
            </w:r>
          </w:p>
        </w:tc>
        <w:tc>
          <w:tcPr>
            <w:tcW w:w="660" w:type="pct"/>
            <w:shd w:val="clear" w:color="auto" w:fill="auto"/>
            <w:vAlign w:val="center"/>
            <w:hideMark/>
          </w:tcPr>
          <w:p w14:paraId="06370D4E" w14:textId="77777777" w:rsidR="004F211D" w:rsidRPr="000C4C70" w:rsidRDefault="004F211D" w:rsidP="00C025C1">
            <w:pPr>
              <w:jc w:val="center"/>
              <w:rPr>
                <w:lang w:eastAsia="en-US"/>
              </w:rPr>
            </w:pPr>
            <w:r w:rsidRPr="000C4C70">
              <w:rPr>
                <w:lang w:eastAsia="en-US"/>
              </w:rPr>
              <w:t>0</w:t>
            </w:r>
          </w:p>
        </w:tc>
      </w:tr>
      <w:tr w:rsidR="004F211D" w:rsidRPr="000C4C70" w14:paraId="38925AAE" w14:textId="77777777" w:rsidTr="006106CF">
        <w:trPr>
          <w:cantSplit/>
        </w:trPr>
        <w:tc>
          <w:tcPr>
            <w:tcW w:w="1135" w:type="pct"/>
            <w:shd w:val="clear" w:color="auto" w:fill="auto"/>
            <w:hideMark/>
          </w:tcPr>
          <w:p w14:paraId="484A633B" w14:textId="77777777" w:rsidR="004F211D" w:rsidRPr="000C4C70" w:rsidRDefault="004F211D" w:rsidP="00C025C1">
            <w:pPr>
              <w:rPr>
                <w:lang w:eastAsia="en-US"/>
              </w:rPr>
            </w:pPr>
            <w:r w:rsidRPr="000C4C70">
              <w:rPr>
                <w:lang w:eastAsia="en-US"/>
              </w:rPr>
              <w:t>2.1. valsts pamatbudžets</w:t>
            </w:r>
          </w:p>
        </w:tc>
        <w:tc>
          <w:tcPr>
            <w:tcW w:w="531" w:type="pct"/>
            <w:shd w:val="clear" w:color="auto" w:fill="auto"/>
            <w:vAlign w:val="center"/>
            <w:hideMark/>
          </w:tcPr>
          <w:p w14:paraId="68CD9829" w14:textId="589AAF56" w:rsidR="004F211D" w:rsidRPr="000C4C70" w:rsidRDefault="004F211D" w:rsidP="00303A1D">
            <w:pPr>
              <w:jc w:val="center"/>
              <w:rPr>
                <w:lang w:eastAsia="en-US"/>
              </w:rPr>
            </w:pPr>
            <w:r w:rsidRPr="000C4C70">
              <w:rPr>
                <w:lang w:eastAsia="en-US"/>
              </w:rPr>
              <w:t>0</w:t>
            </w:r>
          </w:p>
        </w:tc>
        <w:tc>
          <w:tcPr>
            <w:tcW w:w="454" w:type="pct"/>
            <w:shd w:val="clear" w:color="auto" w:fill="auto"/>
            <w:vAlign w:val="center"/>
            <w:hideMark/>
          </w:tcPr>
          <w:p w14:paraId="325352E8" w14:textId="108D9F63" w:rsidR="004F211D" w:rsidRPr="000C4C70" w:rsidRDefault="00303A1D" w:rsidP="00C025C1">
            <w:pPr>
              <w:jc w:val="center"/>
              <w:rPr>
                <w:lang w:eastAsia="en-US"/>
              </w:rPr>
            </w:pPr>
            <w:r>
              <w:rPr>
                <w:lang w:eastAsia="en-US"/>
              </w:rPr>
              <w:t>18 062</w:t>
            </w:r>
          </w:p>
        </w:tc>
        <w:tc>
          <w:tcPr>
            <w:tcW w:w="550" w:type="pct"/>
            <w:gridSpan w:val="2"/>
            <w:shd w:val="clear" w:color="auto" w:fill="auto"/>
            <w:vAlign w:val="center"/>
            <w:hideMark/>
          </w:tcPr>
          <w:p w14:paraId="41A06B58" w14:textId="77777777" w:rsidR="004F211D" w:rsidRPr="000C4C70" w:rsidRDefault="004F211D" w:rsidP="00C025C1">
            <w:pPr>
              <w:jc w:val="center"/>
              <w:rPr>
                <w:lang w:eastAsia="en-US"/>
              </w:rPr>
            </w:pPr>
            <w:r w:rsidRPr="000C4C70">
              <w:rPr>
                <w:lang w:eastAsia="en-US"/>
              </w:rPr>
              <w:t>0</w:t>
            </w:r>
          </w:p>
        </w:tc>
        <w:tc>
          <w:tcPr>
            <w:tcW w:w="530" w:type="pct"/>
            <w:shd w:val="clear" w:color="auto" w:fill="auto"/>
            <w:vAlign w:val="center"/>
            <w:hideMark/>
          </w:tcPr>
          <w:p w14:paraId="4242D95F" w14:textId="77777777" w:rsidR="004F211D" w:rsidRPr="000C4C70" w:rsidRDefault="004F211D" w:rsidP="00C025C1">
            <w:pPr>
              <w:jc w:val="center"/>
              <w:rPr>
                <w:lang w:eastAsia="en-US"/>
              </w:rPr>
            </w:pPr>
            <w:r w:rsidRPr="000C4C70">
              <w:rPr>
                <w:lang w:eastAsia="en-US"/>
              </w:rPr>
              <w:t>0</w:t>
            </w:r>
          </w:p>
        </w:tc>
        <w:tc>
          <w:tcPr>
            <w:tcW w:w="552" w:type="pct"/>
            <w:shd w:val="clear" w:color="auto" w:fill="auto"/>
            <w:vAlign w:val="center"/>
            <w:hideMark/>
          </w:tcPr>
          <w:p w14:paraId="1999F984" w14:textId="77777777" w:rsidR="004F211D" w:rsidRPr="000C4C70" w:rsidRDefault="004F211D" w:rsidP="00C025C1">
            <w:pPr>
              <w:jc w:val="center"/>
              <w:rPr>
                <w:lang w:eastAsia="en-US"/>
              </w:rPr>
            </w:pPr>
            <w:r w:rsidRPr="000C4C70">
              <w:rPr>
                <w:lang w:eastAsia="en-US"/>
              </w:rPr>
              <w:t>0</w:t>
            </w:r>
          </w:p>
        </w:tc>
        <w:tc>
          <w:tcPr>
            <w:tcW w:w="588" w:type="pct"/>
            <w:shd w:val="clear" w:color="auto" w:fill="auto"/>
            <w:vAlign w:val="center"/>
            <w:hideMark/>
          </w:tcPr>
          <w:p w14:paraId="4305F4ED" w14:textId="77777777" w:rsidR="004F211D" w:rsidRPr="000C4C70" w:rsidRDefault="004F211D" w:rsidP="00C025C1">
            <w:pPr>
              <w:jc w:val="center"/>
              <w:rPr>
                <w:lang w:eastAsia="en-US"/>
              </w:rPr>
            </w:pPr>
            <w:r w:rsidRPr="000C4C70">
              <w:rPr>
                <w:lang w:eastAsia="en-US"/>
              </w:rPr>
              <w:t>0</w:t>
            </w:r>
          </w:p>
        </w:tc>
        <w:tc>
          <w:tcPr>
            <w:tcW w:w="660" w:type="pct"/>
            <w:shd w:val="clear" w:color="auto" w:fill="auto"/>
            <w:vAlign w:val="center"/>
            <w:hideMark/>
          </w:tcPr>
          <w:p w14:paraId="5691F5DF" w14:textId="77777777" w:rsidR="004F211D" w:rsidRPr="000C4C70" w:rsidRDefault="004F211D" w:rsidP="00C025C1">
            <w:pPr>
              <w:jc w:val="center"/>
              <w:rPr>
                <w:lang w:eastAsia="en-US"/>
              </w:rPr>
            </w:pPr>
            <w:r w:rsidRPr="000C4C70">
              <w:rPr>
                <w:lang w:eastAsia="en-US"/>
              </w:rPr>
              <w:t>0</w:t>
            </w:r>
          </w:p>
        </w:tc>
      </w:tr>
      <w:tr w:rsidR="004F211D" w:rsidRPr="000C4C70" w14:paraId="0591EC5D" w14:textId="77777777" w:rsidTr="006106CF">
        <w:trPr>
          <w:cantSplit/>
        </w:trPr>
        <w:tc>
          <w:tcPr>
            <w:tcW w:w="1135" w:type="pct"/>
            <w:shd w:val="clear" w:color="auto" w:fill="auto"/>
            <w:hideMark/>
          </w:tcPr>
          <w:p w14:paraId="61ADA9EA" w14:textId="77777777" w:rsidR="004F211D" w:rsidRPr="000C4C70" w:rsidRDefault="004F211D" w:rsidP="00C025C1">
            <w:pPr>
              <w:rPr>
                <w:lang w:eastAsia="en-US"/>
              </w:rPr>
            </w:pPr>
            <w:r w:rsidRPr="000C4C70">
              <w:rPr>
                <w:lang w:eastAsia="en-US"/>
              </w:rPr>
              <w:t>2.2. valsts speciālais budžets</w:t>
            </w:r>
          </w:p>
        </w:tc>
        <w:tc>
          <w:tcPr>
            <w:tcW w:w="531" w:type="pct"/>
            <w:shd w:val="clear" w:color="auto" w:fill="auto"/>
            <w:vAlign w:val="center"/>
            <w:hideMark/>
          </w:tcPr>
          <w:p w14:paraId="5E5C54A4" w14:textId="77777777" w:rsidR="004F211D" w:rsidRPr="000C4C70" w:rsidRDefault="004F211D" w:rsidP="00C025C1">
            <w:pPr>
              <w:jc w:val="center"/>
              <w:rPr>
                <w:lang w:eastAsia="en-US"/>
              </w:rPr>
            </w:pPr>
            <w:r w:rsidRPr="000C4C70">
              <w:rPr>
                <w:lang w:eastAsia="en-US"/>
              </w:rPr>
              <w:t>0</w:t>
            </w:r>
          </w:p>
        </w:tc>
        <w:tc>
          <w:tcPr>
            <w:tcW w:w="454" w:type="pct"/>
            <w:shd w:val="clear" w:color="auto" w:fill="auto"/>
            <w:vAlign w:val="center"/>
            <w:hideMark/>
          </w:tcPr>
          <w:p w14:paraId="1728013B" w14:textId="77777777" w:rsidR="004F211D" w:rsidRPr="000C4C70" w:rsidRDefault="004F211D" w:rsidP="00C025C1">
            <w:pPr>
              <w:jc w:val="center"/>
              <w:rPr>
                <w:lang w:eastAsia="en-US"/>
              </w:rPr>
            </w:pPr>
            <w:r w:rsidRPr="000C4C70">
              <w:rPr>
                <w:lang w:eastAsia="en-US"/>
              </w:rPr>
              <w:t>0</w:t>
            </w:r>
          </w:p>
        </w:tc>
        <w:tc>
          <w:tcPr>
            <w:tcW w:w="550" w:type="pct"/>
            <w:gridSpan w:val="2"/>
            <w:shd w:val="clear" w:color="auto" w:fill="auto"/>
            <w:vAlign w:val="center"/>
            <w:hideMark/>
          </w:tcPr>
          <w:p w14:paraId="74C3EC41" w14:textId="77777777" w:rsidR="004F211D" w:rsidRPr="000C4C70" w:rsidRDefault="004F211D" w:rsidP="00C025C1">
            <w:pPr>
              <w:jc w:val="center"/>
              <w:rPr>
                <w:lang w:eastAsia="en-US"/>
              </w:rPr>
            </w:pPr>
            <w:r w:rsidRPr="000C4C70">
              <w:rPr>
                <w:lang w:eastAsia="en-US"/>
              </w:rPr>
              <w:t>0</w:t>
            </w:r>
          </w:p>
        </w:tc>
        <w:tc>
          <w:tcPr>
            <w:tcW w:w="530" w:type="pct"/>
            <w:shd w:val="clear" w:color="auto" w:fill="auto"/>
            <w:vAlign w:val="center"/>
            <w:hideMark/>
          </w:tcPr>
          <w:p w14:paraId="1B4B5FD1" w14:textId="77777777" w:rsidR="004F211D" w:rsidRPr="000C4C70" w:rsidRDefault="004F211D" w:rsidP="00C025C1">
            <w:pPr>
              <w:jc w:val="center"/>
              <w:rPr>
                <w:lang w:eastAsia="en-US"/>
              </w:rPr>
            </w:pPr>
            <w:r w:rsidRPr="000C4C70">
              <w:rPr>
                <w:lang w:eastAsia="en-US"/>
              </w:rPr>
              <w:t>0</w:t>
            </w:r>
          </w:p>
        </w:tc>
        <w:tc>
          <w:tcPr>
            <w:tcW w:w="552" w:type="pct"/>
            <w:shd w:val="clear" w:color="auto" w:fill="auto"/>
            <w:vAlign w:val="center"/>
            <w:hideMark/>
          </w:tcPr>
          <w:p w14:paraId="35A7A57A" w14:textId="77777777" w:rsidR="004F211D" w:rsidRPr="000C4C70" w:rsidRDefault="004F211D" w:rsidP="00C025C1">
            <w:pPr>
              <w:jc w:val="center"/>
              <w:rPr>
                <w:lang w:eastAsia="en-US"/>
              </w:rPr>
            </w:pPr>
            <w:r w:rsidRPr="000C4C70">
              <w:rPr>
                <w:lang w:eastAsia="en-US"/>
              </w:rPr>
              <w:t>0</w:t>
            </w:r>
          </w:p>
        </w:tc>
        <w:tc>
          <w:tcPr>
            <w:tcW w:w="588" w:type="pct"/>
            <w:shd w:val="clear" w:color="auto" w:fill="auto"/>
            <w:vAlign w:val="center"/>
            <w:hideMark/>
          </w:tcPr>
          <w:p w14:paraId="7B83F6E8" w14:textId="77777777" w:rsidR="004F211D" w:rsidRPr="000C4C70" w:rsidRDefault="004F211D" w:rsidP="00C025C1">
            <w:pPr>
              <w:jc w:val="center"/>
              <w:rPr>
                <w:lang w:eastAsia="en-US"/>
              </w:rPr>
            </w:pPr>
            <w:r w:rsidRPr="000C4C70">
              <w:rPr>
                <w:lang w:eastAsia="en-US"/>
              </w:rPr>
              <w:t>0</w:t>
            </w:r>
          </w:p>
        </w:tc>
        <w:tc>
          <w:tcPr>
            <w:tcW w:w="660" w:type="pct"/>
            <w:shd w:val="clear" w:color="auto" w:fill="auto"/>
            <w:vAlign w:val="center"/>
            <w:hideMark/>
          </w:tcPr>
          <w:p w14:paraId="10A42E53" w14:textId="77777777" w:rsidR="004F211D" w:rsidRPr="000C4C70" w:rsidRDefault="004F211D" w:rsidP="00C025C1">
            <w:pPr>
              <w:jc w:val="center"/>
              <w:rPr>
                <w:lang w:eastAsia="en-US"/>
              </w:rPr>
            </w:pPr>
            <w:r w:rsidRPr="000C4C70">
              <w:rPr>
                <w:lang w:eastAsia="en-US"/>
              </w:rPr>
              <w:t>0</w:t>
            </w:r>
          </w:p>
        </w:tc>
      </w:tr>
      <w:tr w:rsidR="004F211D" w:rsidRPr="000C4C70" w14:paraId="6FDDDF24" w14:textId="77777777" w:rsidTr="006106CF">
        <w:trPr>
          <w:cantSplit/>
        </w:trPr>
        <w:tc>
          <w:tcPr>
            <w:tcW w:w="1135" w:type="pct"/>
            <w:shd w:val="clear" w:color="auto" w:fill="auto"/>
            <w:hideMark/>
          </w:tcPr>
          <w:p w14:paraId="4A2566D4" w14:textId="77777777" w:rsidR="004F211D" w:rsidRPr="000C4C70" w:rsidRDefault="004F211D" w:rsidP="00C025C1">
            <w:pPr>
              <w:rPr>
                <w:lang w:eastAsia="en-US"/>
              </w:rPr>
            </w:pPr>
            <w:r w:rsidRPr="000C4C70">
              <w:rPr>
                <w:lang w:eastAsia="en-US"/>
              </w:rPr>
              <w:t>2.3. pašvaldību budžets</w:t>
            </w:r>
          </w:p>
        </w:tc>
        <w:tc>
          <w:tcPr>
            <w:tcW w:w="531" w:type="pct"/>
            <w:shd w:val="clear" w:color="auto" w:fill="auto"/>
            <w:vAlign w:val="center"/>
            <w:hideMark/>
          </w:tcPr>
          <w:p w14:paraId="17E6B1F4" w14:textId="77777777" w:rsidR="004F211D" w:rsidRPr="000C4C70" w:rsidRDefault="004F211D" w:rsidP="00C025C1">
            <w:pPr>
              <w:jc w:val="center"/>
              <w:rPr>
                <w:lang w:eastAsia="en-US"/>
              </w:rPr>
            </w:pPr>
            <w:r w:rsidRPr="000C4C70">
              <w:rPr>
                <w:lang w:eastAsia="en-US"/>
              </w:rPr>
              <w:t>0</w:t>
            </w:r>
          </w:p>
        </w:tc>
        <w:tc>
          <w:tcPr>
            <w:tcW w:w="454" w:type="pct"/>
            <w:shd w:val="clear" w:color="auto" w:fill="auto"/>
            <w:vAlign w:val="center"/>
            <w:hideMark/>
          </w:tcPr>
          <w:p w14:paraId="08459671" w14:textId="77777777" w:rsidR="004F211D" w:rsidRPr="000C4C70" w:rsidRDefault="004F211D" w:rsidP="00C025C1">
            <w:pPr>
              <w:jc w:val="center"/>
              <w:rPr>
                <w:lang w:eastAsia="en-US"/>
              </w:rPr>
            </w:pPr>
            <w:r w:rsidRPr="000C4C70">
              <w:rPr>
                <w:lang w:eastAsia="en-US"/>
              </w:rPr>
              <w:t>0</w:t>
            </w:r>
          </w:p>
        </w:tc>
        <w:tc>
          <w:tcPr>
            <w:tcW w:w="550" w:type="pct"/>
            <w:gridSpan w:val="2"/>
            <w:shd w:val="clear" w:color="auto" w:fill="auto"/>
            <w:vAlign w:val="center"/>
            <w:hideMark/>
          </w:tcPr>
          <w:p w14:paraId="70A91463" w14:textId="77777777" w:rsidR="004F211D" w:rsidRPr="000C4C70" w:rsidRDefault="004F211D" w:rsidP="00C025C1">
            <w:pPr>
              <w:jc w:val="center"/>
              <w:rPr>
                <w:lang w:eastAsia="en-US"/>
              </w:rPr>
            </w:pPr>
            <w:r w:rsidRPr="000C4C70">
              <w:rPr>
                <w:lang w:eastAsia="en-US"/>
              </w:rPr>
              <w:t>0</w:t>
            </w:r>
          </w:p>
        </w:tc>
        <w:tc>
          <w:tcPr>
            <w:tcW w:w="530" w:type="pct"/>
            <w:shd w:val="clear" w:color="auto" w:fill="auto"/>
            <w:vAlign w:val="center"/>
            <w:hideMark/>
          </w:tcPr>
          <w:p w14:paraId="218001AB" w14:textId="77777777" w:rsidR="004F211D" w:rsidRPr="000C4C70" w:rsidRDefault="004F211D" w:rsidP="00C025C1">
            <w:pPr>
              <w:jc w:val="center"/>
              <w:rPr>
                <w:lang w:eastAsia="en-US"/>
              </w:rPr>
            </w:pPr>
            <w:r w:rsidRPr="000C4C70">
              <w:rPr>
                <w:lang w:eastAsia="en-US"/>
              </w:rPr>
              <w:t>0</w:t>
            </w:r>
          </w:p>
        </w:tc>
        <w:tc>
          <w:tcPr>
            <w:tcW w:w="552" w:type="pct"/>
            <w:shd w:val="clear" w:color="auto" w:fill="auto"/>
            <w:vAlign w:val="center"/>
            <w:hideMark/>
          </w:tcPr>
          <w:p w14:paraId="46CCBF95" w14:textId="77777777" w:rsidR="004F211D" w:rsidRPr="000C4C70" w:rsidRDefault="004F211D" w:rsidP="00C025C1">
            <w:pPr>
              <w:jc w:val="center"/>
              <w:rPr>
                <w:lang w:eastAsia="en-US"/>
              </w:rPr>
            </w:pPr>
            <w:r w:rsidRPr="000C4C70">
              <w:rPr>
                <w:lang w:eastAsia="en-US"/>
              </w:rPr>
              <w:t>0</w:t>
            </w:r>
          </w:p>
        </w:tc>
        <w:tc>
          <w:tcPr>
            <w:tcW w:w="588" w:type="pct"/>
            <w:shd w:val="clear" w:color="auto" w:fill="auto"/>
            <w:vAlign w:val="center"/>
            <w:hideMark/>
          </w:tcPr>
          <w:p w14:paraId="37DE9564" w14:textId="77777777" w:rsidR="004F211D" w:rsidRPr="000C4C70" w:rsidRDefault="004F211D" w:rsidP="00C025C1">
            <w:pPr>
              <w:jc w:val="center"/>
              <w:rPr>
                <w:lang w:eastAsia="en-US"/>
              </w:rPr>
            </w:pPr>
            <w:r w:rsidRPr="000C4C70">
              <w:rPr>
                <w:lang w:eastAsia="en-US"/>
              </w:rPr>
              <w:t>0</w:t>
            </w:r>
          </w:p>
        </w:tc>
        <w:tc>
          <w:tcPr>
            <w:tcW w:w="660" w:type="pct"/>
            <w:shd w:val="clear" w:color="auto" w:fill="auto"/>
            <w:vAlign w:val="center"/>
            <w:hideMark/>
          </w:tcPr>
          <w:p w14:paraId="7115E422" w14:textId="77777777" w:rsidR="004F211D" w:rsidRPr="000C4C70" w:rsidRDefault="004F211D" w:rsidP="00C025C1">
            <w:pPr>
              <w:jc w:val="center"/>
              <w:rPr>
                <w:lang w:eastAsia="en-US"/>
              </w:rPr>
            </w:pPr>
            <w:r w:rsidRPr="000C4C70">
              <w:rPr>
                <w:lang w:eastAsia="en-US"/>
              </w:rPr>
              <w:t>0</w:t>
            </w:r>
          </w:p>
        </w:tc>
      </w:tr>
      <w:tr w:rsidR="004F211D" w:rsidRPr="000C4C70" w14:paraId="7CEE9993" w14:textId="77777777" w:rsidTr="006106CF">
        <w:trPr>
          <w:cantSplit/>
        </w:trPr>
        <w:tc>
          <w:tcPr>
            <w:tcW w:w="1135" w:type="pct"/>
            <w:shd w:val="clear" w:color="auto" w:fill="auto"/>
            <w:hideMark/>
          </w:tcPr>
          <w:p w14:paraId="2DC64C69" w14:textId="77777777" w:rsidR="004F211D" w:rsidRPr="000C4C70" w:rsidRDefault="004F211D" w:rsidP="00C025C1">
            <w:pPr>
              <w:rPr>
                <w:lang w:eastAsia="en-US"/>
              </w:rPr>
            </w:pPr>
            <w:r w:rsidRPr="000C4C70">
              <w:rPr>
                <w:lang w:eastAsia="en-US"/>
              </w:rPr>
              <w:t>3. Finansiālā ietekme</w:t>
            </w:r>
          </w:p>
        </w:tc>
        <w:tc>
          <w:tcPr>
            <w:tcW w:w="531" w:type="pct"/>
            <w:shd w:val="clear" w:color="auto" w:fill="auto"/>
            <w:vAlign w:val="center"/>
            <w:hideMark/>
          </w:tcPr>
          <w:p w14:paraId="2B6E1404" w14:textId="16980AC5" w:rsidR="004F211D" w:rsidRPr="000C4C70" w:rsidRDefault="004F211D" w:rsidP="00303A1D">
            <w:pPr>
              <w:jc w:val="center"/>
              <w:rPr>
                <w:lang w:eastAsia="en-US"/>
              </w:rPr>
            </w:pPr>
            <w:r w:rsidRPr="000C4C70">
              <w:rPr>
                <w:lang w:eastAsia="en-US"/>
              </w:rPr>
              <w:t>0</w:t>
            </w:r>
          </w:p>
        </w:tc>
        <w:tc>
          <w:tcPr>
            <w:tcW w:w="454" w:type="pct"/>
            <w:shd w:val="clear" w:color="auto" w:fill="auto"/>
            <w:vAlign w:val="center"/>
            <w:hideMark/>
          </w:tcPr>
          <w:p w14:paraId="390295F3" w14:textId="24284CAB" w:rsidR="004F211D" w:rsidRPr="000C4C70" w:rsidRDefault="00303A1D" w:rsidP="00C025C1">
            <w:pPr>
              <w:jc w:val="center"/>
              <w:rPr>
                <w:lang w:eastAsia="en-US"/>
              </w:rPr>
            </w:pPr>
            <w:r>
              <w:rPr>
                <w:lang w:eastAsia="en-US"/>
              </w:rPr>
              <w:t>-18 062</w:t>
            </w:r>
          </w:p>
        </w:tc>
        <w:tc>
          <w:tcPr>
            <w:tcW w:w="550" w:type="pct"/>
            <w:gridSpan w:val="2"/>
            <w:shd w:val="clear" w:color="auto" w:fill="auto"/>
            <w:vAlign w:val="center"/>
            <w:hideMark/>
          </w:tcPr>
          <w:p w14:paraId="333F6378" w14:textId="77777777" w:rsidR="004F211D" w:rsidRPr="000C4C70" w:rsidRDefault="004F211D" w:rsidP="00C025C1">
            <w:pPr>
              <w:jc w:val="center"/>
              <w:rPr>
                <w:lang w:eastAsia="en-US"/>
              </w:rPr>
            </w:pPr>
            <w:r w:rsidRPr="000C4C70">
              <w:rPr>
                <w:lang w:eastAsia="en-US"/>
              </w:rPr>
              <w:t>0</w:t>
            </w:r>
          </w:p>
        </w:tc>
        <w:tc>
          <w:tcPr>
            <w:tcW w:w="530" w:type="pct"/>
            <w:shd w:val="clear" w:color="auto" w:fill="auto"/>
            <w:vAlign w:val="center"/>
          </w:tcPr>
          <w:p w14:paraId="1490F034" w14:textId="6E4A71F6" w:rsidR="004F211D" w:rsidRDefault="004F211D" w:rsidP="00C025C1">
            <w:pPr>
              <w:ind w:left="-24"/>
              <w:jc w:val="center"/>
              <w:rPr>
                <w:lang w:eastAsia="en-US"/>
              </w:rPr>
            </w:pPr>
          </w:p>
          <w:p w14:paraId="21D7C46B" w14:textId="72371477" w:rsidR="002C7C93" w:rsidRPr="00267F31" w:rsidRDefault="002C7C93" w:rsidP="00C025C1">
            <w:pPr>
              <w:ind w:left="-24"/>
              <w:jc w:val="center"/>
              <w:rPr>
                <w:lang w:eastAsia="en-US"/>
              </w:rPr>
            </w:pPr>
            <w:r w:rsidRPr="002C7C93">
              <w:rPr>
                <w:lang w:eastAsia="en-US"/>
              </w:rPr>
              <w:t>-3 000 000</w:t>
            </w:r>
          </w:p>
        </w:tc>
        <w:tc>
          <w:tcPr>
            <w:tcW w:w="552" w:type="pct"/>
            <w:shd w:val="clear" w:color="auto" w:fill="auto"/>
            <w:vAlign w:val="center"/>
          </w:tcPr>
          <w:p w14:paraId="6D96FDD5" w14:textId="77777777" w:rsidR="004F211D" w:rsidRPr="000C4C70" w:rsidRDefault="004F211D" w:rsidP="00C025C1">
            <w:pPr>
              <w:jc w:val="center"/>
              <w:rPr>
                <w:lang w:eastAsia="en-US"/>
              </w:rPr>
            </w:pPr>
            <w:r w:rsidRPr="000C4C70">
              <w:rPr>
                <w:lang w:eastAsia="en-US"/>
              </w:rPr>
              <w:t>0</w:t>
            </w:r>
          </w:p>
        </w:tc>
        <w:tc>
          <w:tcPr>
            <w:tcW w:w="588" w:type="pct"/>
            <w:shd w:val="clear" w:color="auto" w:fill="auto"/>
            <w:vAlign w:val="center"/>
          </w:tcPr>
          <w:p w14:paraId="27A783FE" w14:textId="443EE5A0" w:rsidR="00BF72A4" w:rsidRDefault="00BF72A4" w:rsidP="00C025C1">
            <w:pPr>
              <w:jc w:val="center"/>
              <w:rPr>
                <w:lang w:eastAsia="en-US"/>
              </w:rPr>
            </w:pPr>
          </w:p>
          <w:p w14:paraId="5494C0B9" w14:textId="5009EBCA" w:rsidR="004F211D" w:rsidRPr="000C4C70" w:rsidRDefault="00BF72A4" w:rsidP="00C025C1">
            <w:pPr>
              <w:jc w:val="center"/>
              <w:rPr>
                <w:lang w:eastAsia="en-US"/>
              </w:rPr>
            </w:pPr>
            <w:r w:rsidRPr="00BF72A4">
              <w:rPr>
                <w:lang w:eastAsia="en-US"/>
              </w:rPr>
              <w:t>-3 000 000</w:t>
            </w:r>
          </w:p>
        </w:tc>
        <w:tc>
          <w:tcPr>
            <w:tcW w:w="660" w:type="pct"/>
            <w:shd w:val="clear" w:color="auto" w:fill="auto"/>
            <w:vAlign w:val="center"/>
          </w:tcPr>
          <w:p w14:paraId="5F0827F0" w14:textId="6204D159" w:rsidR="004F211D" w:rsidRDefault="00F42765" w:rsidP="00C025C1">
            <w:pPr>
              <w:jc w:val="center"/>
              <w:rPr>
                <w:lang w:eastAsia="en-US"/>
              </w:rPr>
            </w:pPr>
            <w:r>
              <w:rPr>
                <w:lang w:eastAsia="en-US"/>
              </w:rPr>
              <w:t> </w:t>
            </w:r>
          </w:p>
          <w:p w14:paraId="69B26C38" w14:textId="6572D020" w:rsidR="00F42765" w:rsidRPr="000C4C70" w:rsidRDefault="00F42765" w:rsidP="00C025C1">
            <w:pPr>
              <w:jc w:val="center"/>
              <w:rPr>
                <w:lang w:eastAsia="en-US"/>
              </w:rPr>
            </w:pPr>
            <w:r w:rsidRPr="00F42765">
              <w:rPr>
                <w:lang w:eastAsia="en-US"/>
              </w:rPr>
              <w:t>-</w:t>
            </w:r>
            <w:r w:rsidR="00AA22D7" w:rsidRPr="00AA22D7">
              <w:rPr>
                <w:lang w:eastAsia="en-US"/>
              </w:rPr>
              <w:t>3 000 000</w:t>
            </w:r>
          </w:p>
        </w:tc>
      </w:tr>
      <w:tr w:rsidR="004F211D" w:rsidRPr="000C4C70" w14:paraId="1D303DD3" w14:textId="77777777" w:rsidTr="006106CF">
        <w:trPr>
          <w:cantSplit/>
        </w:trPr>
        <w:tc>
          <w:tcPr>
            <w:tcW w:w="1135" w:type="pct"/>
            <w:shd w:val="clear" w:color="auto" w:fill="auto"/>
            <w:hideMark/>
          </w:tcPr>
          <w:p w14:paraId="6886988E" w14:textId="77777777" w:rsidR="004F211D" w:rsidRPr="000C4C70" w:rsidRDefault="004F211D" w:rsidP="00C025C1">
            <w:pPr>
              <w:rPr>
                <w:lang w:eastAsia="en-US"/>
              </w:rPr>
            </w:pPr>
            <w:r w:rsidRPr="000C4C70">
              <w:rPr>
                <w:lang w:eastAsia="en-US"/>
              </w:rPr>
              <w:t>3.1. valsts pamatbudžets</w:t>
            </w:r>
          </w:p>
        </w:tc>
        <w:tc>
          <w:tcPr>
            <w:tcW w:w="531" w:type="pct"/>
            <w:shd w:val="clear" w:color="auto" w:fill="auto"/>
            <w:vAlign w:val="center"/>
            <w:hideMark/>
          </w:tcPr>
          <w:p w14:paraId="0E977F0B" w14:textId="7F4B6F00" w:rsidR="004F211D" w:rsidRPr="000C4C70" w:rsidRDefault="004F211D" w:rsidP="00303A1D">
            <w:pPr>
              <w:jc w:val="center"/>
              <w:rPr>
                <w:lang w:eastAsia="en-US"/>
              </w:rPr>
            </w:pPr>
            <w:r w:rsidRPr="000C4C70">
              <w:rPr>
                <w:lang w:eastAsia="en-US"/>
              </w:rPr>
              <w:t>0</w:t>
            </w:r>
          </w:p>
        </w:tc>
        <w:tc>
          <w:tcPr>
            <w:tcW w:w="454" w:type="pct"/>
            <w:shd w:val="clear" w:color="auto" w:fill="auto"/>
            <w:vAlign w:val="center"/>
            <w:hideMark/>
          </w:tcPr>
          <w:p w14:paraId="64F17B59" w14:textId="3911FC56" w:rsidR="004F211D" w:rsidRPr="000C4C70" w:rsidRDefault="00303A1D" w:rsidP="00C025C1">
            <w:pPr>
              <w:jc w:val="center"/>
              <w:rPr>
                <w:lang w:eastAsia="en-US"/>
              </w:rPr>
            </w:pPr>
            <w:r>
              <w:rPr>
                <w:lang w:eastAsia="en-US"/>
              </w:rPr>
              <w:t>-18 062</w:t>
            </w:r>
          </w:p>
        </w:tc>
        <w:tc>
          <w:tcPr>
            <w:tcW w:w="550" w:type="pct"/>
            <w:gridSpan w:val="2"/>
            <w:shd w:val="clear" w:color="auto" w:fill="auto"/>
            <w:vAlign w:val="center"/>
            <w:hideMark/>
          </w:tcPr>
          <w:p w14:paraId="1F15E192" w14:textId="77777777" w:rsidR="004F211D" w:rsidRPr="000C4C70" w:rsidRDefault="004F211D" w:rsidP="00C025C1">
            <w:pPr>
              <w:jc w:val="center"/>
              <w:rPr>
                <w:lang w:eastAsia="en-US"/>
              </w:rPr>
            </w:pPr>
            <w:r w:rsidRPr="000C4C70">
              <w:rPr>
                <w:lang w:eastAsia="en-US"/>
              </w:rPr>
              <w:t>0</w:t>
            </w:r>
          </w:p>
        </w:tc>
        <w:tc>
          <w:tcPr>
            <w:tcW w:w="530" w:type="pct"/>
            <w:shd w:val="clear" w:color="auto" w:fill="auto"/>
            <w:vAlign w:val="center"/>
          </w:tcPr>
          <w:p w14:paraId="16EDC410" w14:textId="58CF0F31" w:rsidR="004F211D" w:rsidRDefault="004F211D" w:rsidP="00C025C1">
            <w:pPr>
              <w:jc w:val="center"/>
              <w:rPr>
                <w:lang w:eastAsia="en-US"/>
              </w:rPr>
            </w:pPr>
          </w:p>
          <w:p w14:paraId="257B6885" w14:textId="62F023FF" w:rsidR="002C7C93" w:rsidRPr="000C4C70" w:rsidRDefault="002C7C93" w:rsidP="00C025C1">
            <w:pPr>
              <w:jc w:val="center"/>
              <w:rPr>
                <w:lang w:eastAsia="en-US"/>
              </w:rPr>
            </w:pPr>
            <w:r w:rsidRPr="002C7C93">
              <w:rPr>
                <w:lang w:eastAsia="en-US"/>
              </w:rPr>
              <w:t>-3 000 000</w:t>
            </w:r>
          </w:p>
        </w:tc>
        <w:tc>
          <w:tcPr>
            <w:tcW w:w="552" w:type="pct"/>
            <w:shd w:val="clear" w:color="auto" w:fill="auto"/>
            <w:vAlign w:val="center"/>
          </w:tcPr>
          <w:p w14:paraId="0A657EED" w14:textId="77777777" w:rsidR="004F211D" w:rsidRPr="000C4C70" w:rsidRDefault="004F211D" w:rsidP="00C025C1">
            <w:pPr>
              <w:jc w:val="center"/>
              <w:rPr>
                <w:lang w:eastAsia="en-US"/>
              </w:rPr>
            </w:pPr>
            <w:r w:rsidRPr="000C4C70">
              <w:rPr>
                <w:lang w:eastAsia="en-US"/>
              </w:rPr>
              <w:t>0</w:t>
            </w:r>
          </w:p>
        </w:tc>
        <w:tc>
          <w:tcPr>
            <w:tcW w:w="588" w:type="pct"/>
            <w:shd w:val="clear" w:color="auto" w:fill="auto"/>
            <w:vAlign w:val="center"/>
          </w:tcPr>
          <w:p w14:paraId="704A93C3" w14:textId="21DA9AAD" w:rsidR="00BF72A4" w:rsidRDefault="00BF72A4" w:rsidP="00C025C1">
            <w:pPr>
              <w:jc w:val="center"/>
              <w:rPr>
                <w:lang w:eastAsia="en-US"/>
              </w:rPr>
            </w:pPr>
          </w:p>
          <w:p w14:paraId="72C2FDF2" w14:textId="37025A2F" w:rsidR="004F211D" w:rsidRPr="000C4C70" w:rsidRDefault="00BF72A4" w:rsidP="00C025C1">
            <w:pPr>
              <w:jc w:val="center"/>
              <w:rPr>
                <w:lang w:eastAsia="en-US"/>
              </w:rPr>
            </w:pPr>
            <w:r w:rsidRPr="00BF72A4">
              <w:rPr>
                <w:lang w:eastAsia="en-US"/>
              </w:rPr>
              <w:t>-3 000 000</w:t>
            </w:r>
          </w:p>
        </w:tc>
        <w:tc>
          <w:tcPr>
            <w:tcW w:w="660" w:type="pct"/>
            <w:shd w:val="clear" w:color="auto" w:fill="auto"/>
            <w:vAlign w:val="center"/>
          </w:tcPr>
          <w:p w14:paraId="4C247098" w14:textId="1C7DF2D9" w:rsidR="004F211D" w:rsidRDefault="00F42765" w:rsidP="00C025C1">
            <w:pPr>
              <w:jc w:val="center"/>
              <w:rPr>
                <w:lang w:eastAsia="en-US"/>
              </w:rPr>
            </w:pPr>
            <w:r>
              <w:rPr>
                <w:lang w:eastAsia="en-US"/>
              </w:rPr>
              <w:t> </w:t>
            </w:r>
          </w:p>
          <w:p w14:paraId="3D95216E" w14:textId="17D8C1BF" w:rsidR="00F42765" w:rsidRPr="000C4C70" w:rsidRDefault="00F42765" w:rsidP="00C025C1">
            <w:pPr>
              <w:jc w:val="center"/>
              <w:rPr>
                <w:lang w:eastAsia="en-US"/>
              </w:rPr>
            </w:pPr>
            <w:r w:rsidRPr="00F42765">
              <w:rPr>
                <w:lang w:eastAsia="en-US"/>
              </w:rPr>
              <w:t>-</w:t>
            </w:r>
            <w:r w:rsidR="00AA22D7" w:rsidRPr="00AA22D7">
              <w:rPr>
                <w:lang w:eastAsia="en-US"/>
              </w:rPr>
              <w:t>3 000 000</w:t>
            </w:r>
          </w:p>
        </w:tc>
      </w:tr>
      <w:tr w:rsidR="004F211D" w:rsidRPr="000C4C70" w14:paraId="3507D5A9" w14:textId="77777777" w:rsidTr="006106CF">
        <w:trPr>
          <w:cantSplit/>
        </w:trPr>
        <w:tc>
          <w:tcPr>
            <w:tcW w:w="1135" w:type="pct"/>
            <w:shd w:val="clear" w:color="auto" w:fill="auto"/>
            <w:hideMark/>
          </w:tcPr>
          <w:p w14:paraId="5EC0785B" w14:textId="77777777" w:rsidR="004F211D" w:rsidRPr="000C4C70" w:rsidRDefault="004F211D" w:rsidP="00C025C1">
            <w:pPr>
              <w:rPr>
                <w:lang w:eastAsia="en-US"/>
              </w:rPr>
            </w:pPr>
            <w:r w:rsidRPr="000C4C70">
              <w:rPr>
                <w:lang w:eastAsia="en-US"/>
              </w:rPr>
              <w:t>3.2. speciālais budžets</w:t>
            </w:r>
          </w:p>
        </w:tc>
        <w:tc>
          <w:tcPr>
            <w:tcW w:w="531" w:type="pct"/>
            <w:shd w:val="clear" w:color="auto" w:fill="auto"/>
            <w:vAlign w:val="center"/>
            <w:hideMark/>
          </w:tcPr>
          <w:p w14:paraId="18D61773" w14:textId="77777777" w:rsidR="004F211D" w:rsidRPr="000C4C70" w:rsidRDefault="004F211D" w:rsidP="00C025C1">
            <w:pPr>
              <w:jc w:val="center"/>
              <w:rPr>
                <w:lang w:eastAsia="en-US"/>
              </w:rPr>
            </w:pPr>
            <w:r w:rsidRPr="000C4C70">
              <w:rPr>
                <w:lang w:eastAsia="en-US"/>
              </w:rPr>
              <w:t>0</w:t>
            </w:r>
          </w:p>
        </w:tc>
        <w:tc>
          <w:tcPr>
            <w:tcW w:w="454" w:type="pct"/>
            <w:shd w:val="clear" w:color="auto" w:fill="auto"/>
            <w:vAlign w:val="center"/>
            <w:hideMark/>
          </w:tcPr>
          <w:p w14:paraId="684E48D4" w14:textId="77777777" w:rsidR="004F211D" w:rsidRPr="000C4C70" w:rsidRDefault="004F211D" w:rsidP="00C025C1">
            <w:pPr>
              <w:jc w:val="center"/>
              <w:rPr>
                <w:lang w:eastAsia="en-US"/>
              </w:rPr>
            </w:pPr>
            <w:r w:rsidRPr="000C4C70">
              <w:rPr>
                <w:lang w:eastAsia="en-US"/>
              </w:rPr>
              <w:t>0</w:t>
            </w:r>
          </w:p>
        </w:tc>
        <w:tc>
          <w:tcPr>
            <w:tcW w:w="550" w:type="pct"/>
            <w:gridSpan w:val="2"/>
            <w:shd w:val="clear" w:color="auto" w:fill="auto"/>
            <w:vAlign w:val="center"/>
            <w:hideMark/>
          </w:tcPr>
          <w:p w14:paraId="1E4CD3BF" w14:textId="77777777" w:rsidR="004F211D" w:rsidRPr="000C4C70" w:rsidRDefault="004F211D" w:rsidP="00C025C1">
            <w:pPr>
              <w:jc w:val="center"/>
              <w:rPr>
                <w:lang w:eastAsia="en-US"/>
              </w:rPr>
            </w:pPr>
            <w:r w:rsidRPr="000C4C70">
              <w:rPr>
                <w:lang w:eastAsia="en-US"/>
              </w:rPr>
              <w:t>0</w:t>
            </w:r>
          </w:p>
        </w:tc>
        <w:tc>
          <w:tcPr>
            <w:tcW w:w="530" w:type="pct"/>
            <w:shd w:val="clear" w:color="auto" w:fill="auto"/>
            <w:vAlign w:val="center"/>
          </w:tcPr>
          <w:p w14:paraId="0463FAFE" w14:textId="77777777" w:rsidR="004F211D" w:rsidRPr="000C4C70" w:rsidRDefault="004F211D" w:rsidP="00C025C1">
            <w:pPr>
              <w:jc w:val="center"/>
              <w:rPr>
                <w:lang w:eastAsia="en-US"/>
              </w:rPr>
            </w:pPr>
            <w:r w:rsidRPr="000C4C70">
              <w:rPr>
                <w:lang w:eastAsia="en-US"/>
              </w:rPr>
              <w:t>0</w:t>
            </w:r>
          </w:p>
        </w:tc>
        <w:tc>
          <w:tcPr>
            <w:tcW w:w="552" w:type="pct"/>
            <w:shd w:val="clear" w:color="auto" w:fill="auto"/>
            <w:vAlign w:val="center"/>
          </w:tcPr>
          <w:p w14:paraId="0AA08305" w14:textId="77777777" w:rsidR="004F211D" w:rsidRPr="000C4C70" w:rsidRDefault="004F211D" w:rsidP="00C025C1">
            <w:pPr>
              <w:jc w:val="center"/>
              <w:rPr>
                <w:lang w:eastAsia="en-US"/>
              </w:rPr>
            </w:pPr>
            <w:r w:rsidRPr="000C4C70">
              <w:rPr>
                <w:lang w:eastAsia="en-US"/>
              </w:rPr>
              <w:t>0</w:t>
            </w:r>
          </w:p>
        </w:tc>
        <w:tc>
          <w:tcPr>
            <w:tcW w:w="588" w:type="pct"/>
            <w:shd w:val="clear" w:color="auto" w:fill="auto"/>
            <w:vAlign w:val="center"/>
          </w:tcPr>
          <w:p w14:paraId="4ACF18C1" w14:textId="77777777" w:rsidR="004F211D" w:rsidRPr="000C4C70" w:rsidRDefault="004F211D" w:rsidP="00C025C1">
            <w:pPr>
              <w:jc w:val="center"/>
              <w:rPr>
                <w:lang w:eastAsia="en-US"/>
              </w:rPr>
            </w:pPr>
            <w:r w:rsidRPr="000C4C70">
              <w:rPr>
                <w:lang w:eastAsia="en-US"/>
              </w:rPr>
              <w:t>0</w:t>
            </w:r>
          </w:p>
        </w:tc>
        <w:tc>
          <w:tcPr>
            <w:tcW w:w="660" w:type="pct"/>
            <w:shd w:val="clear" w:color="auto" w:fill="auto"/>
            <w:vAlign w:val="center"/>
          </w:tcPr>
          <w:p w14:paraId="05F577F6" w14:textId="77777777" w:rsidR="004F211D" w:rsidRPr="000C4C70" w:rsidRDefault="004F211D" w:rsidP="00C025C1">
            <w:pPr>
              <w:jc w:val="center"/>
              <w:rPr>
                <w:lang w:eastAsia="en-US"/>
              </w:rPr>
            </w:pPr>
            <w:r w:rsidRPr="000C4C70">
              <w:rPr>
                <w:lang w:eastAsia="en-US"/>
              </w:rPr>
              <w:t>0</w:t>
            </w:r>
          </w:p>
        </w:tc>
      </w:tr>
      <w:tr w:rsidR="004F211D" w:rsidRPr="000C4C70" w14:paraId="121D0255" w14:textId="77777777" w:rsidTr="006106CF">
        <w:trPr>
          <w:cantSplit/>
        </w:trPr>
        <w:tc>
          <w:tcPr>
            <w:tcW w:w="1135" w:type="pct"/>
            <w:shd w:val="clear" w:color="auto" w:fill="auto"/>
            <w:hideMark/>
          </w:tcPr>
          <w:p w14:paraId="089C7E34" w14:textId="77777777" w:rsidR="004F211D" w:rsidRPr="000C4C70" w:rsidRDefault="004F211D" w:rsidP="00C025C1">
            <w:pPr>
              <w:rPr>
                <w:lang w:eastAsia="en-US"/>
              </w:rPr>
            </w:pPr>
            <w:r w:rsidRPr="000C4C70">
              <w:rPr>
                <w:lang w:eastAsia="en-US"/>
              </w:rPr>
              <w:t>3.3. pašvaldību budžets</w:t>
            </w:r>
          </w:p>
        </w:tc>
        <w:tc>
          <w:tcPr>
            <w:tcW w:w="531" w:type="pct"/>
            <w:shd w:val="clear" w:color="auto" w:fill="auto"/>
            <w:vAlign w:val="center"/>
            <w:hideMark/>
          </w:tcPr>
          <w:p w14:paraId="76A24124" w14:textId="77777777" w:rsidR="004F211D" w:rsidRPr="000C4C70" w:rsidRDefault="004F211D" w:rsidP="00C025C1">
            <w:pPr>
              <w:jc w:val="center"/>
              <w:rPr>
                <w:lang w:eastAsia="en-US"/>
              </w:rPr>
            </w:pPr>
            <w:r w:rsidRPr="000C4C70">
              <w:rPr>
                <w:lang w:eastAsia="en-US"/>
              </w:rPr>
              <w:t>0</w:t>
            </w:r>
          </w:p>
        </w:tc>
        <w:tc>
          <w:tcPr>
            <w:tcW w:w="454" w:type="pct"/>
            <w:shd w:val="clear" w:color="auto" w:fill="auto"/>
            <w:vAlign w:val="center"/>
            <w:hideMark/>
          </w:tcPr>
          <w:p w14:paraId="49AA0162" w14:textId="77777777" w:rsidR="004F211D" w:rsidRPr="000C4C70" w:rsidRDefault="004F211D" w:rsidP="00C025C1">
            <w:pPr>
              <w:jc w:val="center"/>
              <w:rPr>
                <w:lang w:eastAsia="en-US"/>
              </w:rPr>
            </w:pPr>
            <w:r w:rsidRPr="000C4C70">
              <w:rPr>
                <w:lang w:eastAsia="en-US"/>
              </w:rPr>
              <w:t>0</w:t>
            </w:r>
          </w:p>
        </w:tc>
        <w:tc>
          <w:tcPr>
            <w:tcW w:w="550" w:type="pct"/>
            <w:gridSpan w:val="2"/>
            <w:shd w:val="clear" w:color="auto" w:fill="auto"/>
            <w:vAlign w:val="center"/>
            <w:hideMark/>
          </w:tcPr>
          <w:p w14:paraId="1A03D775" w14:textId="77777777" w:rsidR="004F211D" w:rsidRPr="000C4C70" w:rsidRDefault="004F211D" w:rsidP="00C025C1">
            <w:pPr>
              <w:jc w:val="center"/>
              <w:rPr>
                <w:lang w:eastAsia="en-US"/>
              </w:rPr>
            </w:pPr>
            <w:r w:rsidRPr="000C4C70">
              <w:rPr>
                <w:lang w:eastAsia="en-US"/>
              </w:rPr>
              <w:t>0</w:t>
            </w:r>
          </w:p>
        </w:tc>
        <w:tc>
          <w:tcPr>
            <w:tcW w:w="530" w:type="pct"/>
            <w:shd w:val="clear" w:color="auto" w:fill="auto"/>
            <w:vAlign w:val="center"/>
          </w:tcPr>
          <w:p w14:paraId="206D6897" w14:textId="77777777" w:rsidR="004F211D" w:rsidRPr="000C4C70" w:rsidRDefault="004F211D" w:rsidP="00C025C1">
            <w:pPr>
              <w:jc w:val="center"/>
              <w:rPr>
                <w:lang w:eastAsia="en-US"/>
              </w:rPr>
            </w:pPr>
            <w:r w:rsidRPr="000C4C70">
              <w:rPr>
                <w:lang w:eastAsia="en-US"/>
              </w:rPr>
              <w:t>0</w:t>
            </w:r>
          </w:p>
        </w:tc>
        <w:tc>
          <w:tcPr>
            <w:tcW w:w="552" w:type="pct"/>
            <w:shd w:val="clear" w:color="auto" w:fill="auto"/>
            <w:vAlign w:val="center"/>
          </w:tcPr>
          <w:p w14:paraId="20522E77" w14:textId="77777777" w:rsidR="004F211D" w:rsidRPr="000C4C70" w:rsidRDefault="004F211D" w:rsidP="00C025C1">
            <w:pPr>
              <w:jc w:val="center"/>
              <w:rPr>
                <w:lang w:eastAsia="en-US"/>
              </w:rPr>
            </w:pPr>
            <w:r w:rsidRPr="000C4C70">
              <w:rPr>
                <w:lang w:eastAsia="en-US"/>
              </w:rPr>
              <w:t>0</w:t>
            </w:r>
          </w:p>
        </w:tc>
        <w:tc>
          <w:tcPr>
            <w:tcW w:w="588" w:type="pct"/>
            <w:shd w:val="clear" w:color="auto" w:fill="auto"/>
            <w:vAlign w:val="center"/>
          </w:tcPr>
          <w:p w14:paraId="0BCD5B42" w14:textId="77777777" w:rsidR="004F211D" w:rsidRPr="000C4C70" w:rsidRDefault="004F211D" w:rsidP="00C025C1">
            <w:pPr>
              <w:jc w:val="center"/>
              <w:rPr>
                <w:lang w:eastAsia="en-US"/>
              </w:rPr>
            </w:pPr>
            <w:r w:rsidRPr="000C4C70">
              <w:rPr>
                <w:lang w:eastAsia="en-US"/>
              </w:rPr>
              <w:t>0</w:t>
            </w:r>
          </w:p>
        </w:tc>
        <w:tc>
          <w:tcPr>
            <w:tcW w:w="660" w:type="pct"/>
            <w:shd w:val="clear" w:color="auto" w:fill="auto"/>
            <w:vAlign w:val="center"/>
          </w:tcPr>
          <w:p w14:paraId="6032A627" w14:textId="77777777" w:rsidR="004F211D" w:rsidRPr="000C4C70" w:rsidRDefault="004F211D" w:rsidP="00C025C1">
            <w:pPr>
              <w:jc w:val="center"/>
              <w:rPr>
                <w:lang w:eastAsia="en-US"/>
              </w:rPr>
            </w:pPr>
            <w:r w:rsidRPr="000C4C70">
              <w:rPr>
                <w:lang w:eastAsia="en-US"/>
              </w:rPr>
              <w:t>0</w:t>
            </w:r>
          </w:p>
        </w:tc>
      </w:tr>
      <w:tr w:rsidR="000C4C70" w:rsidRPr="000C4C70" w14:paraId="08C81ED3" w14:textId="77777777" w:rsidTr="006106CF">
        <w:trPr>
          <w:cantSplit/>
        </w:trPr>
        <w:tc>
          <w:tcPr>
            <w:tcW w:w="1135" w:type="pct"/>
            <w:shd w:val="clear" w:color="auto" w:fill="auto"/>
            <w:hideMark/>
          </w:tcPr>
          <w:p w14:paraId="626BDC4E" w14:textId="77777777" w:rsidR="00BE6130" w:rsidRPr="000C4C70" w:rsidRDefault="00BE6130" w:rsidP="00BE6130">
            <w:pPr>
              <w:rPr>
                <w:lang w:eastAsia="en-US"/>
              </w:rPr>
            </w:pPr>
            <w:r w:rsidRPr="000C4C70">
              <w:rPr>
                <w:lang w:eastAsia="en-US"/>
              </w:rPr>
              <w:t>4. Finanšu līdzekļi papildu izdevumu finansēšanai (kompensējošu izdevumu samazinājumu norāda ar "+" zīmi)</w:t>
            </w:r>
          </w:p>
        </w:tc>
        <w:tc>
          <w:tcPr>
            <w:tcW w:w="531" w:type="pct"/>
            <w:shd w:val="clear" w:color="auto" w:fill="auto"/>
            <w:vAlign w:val="center"/>
            <w:hideMark/>
          </w:tcPr>
          <w:p w14:paraId="5EEF9319" w14:textId="73AAC5BA" w:rsidR="00BE6130" w:rsidRPr="000C4C70" w:rsidRDefault="00F50C2F" w:rsidP="00BE6130">
            <w:pPr>
              <w:jc w:val="center"/>
              <w:rPr>
                <w:lang w:eastAsia="en-US"/>
              </w:rPr>
            </w:pPr>
            <w:r w:rsidRPr="000C4C70">
              <w:rPr>
                <w:lang w:eastAsia="en-US"/>
              </w:rPr>
              <w:t>X</w:t>
            </w:r>
          </w:p>
        </w:tc>
        <w:tc>
          <w:tcPr>
            <w:tcW w:w="454" w:type="pct"/>
            <w:shd w:val="clear" w:color="auto" w:fill="auto"/>
            <w:vAlign w:val="center"/>
            <w:hideMark/>
          </w:tcPr>
          <w:p w14:paraId="27EAFC1A" w14:textId="020A3C46" w:rsidR="00BE6130" w:rsidRPr="000C4C70" w:rsidRDefault="0040624C" w:rsidP="00BE6130">
            <w:pPr>
              <w:jc w:val="center"/>
              <w:rPr>
                <w:lang w:eastAsia="en-US"/>
              </w:rPr>
            </w:pPr>
            <w:r>
              <w:rPr>
                <w:lang w:eastAsia="en-US"/>
              </w:rPr>
              <w:t>+18 062</w:t>
            </w:r>
          </w:p>
        </w:tc>
        <w:tc>
          <w:tcPr>
            <w:tcW w:w="550" w:type="pct"/>
            <w:gridSpan w:val="2"/>
            <w:shd w:val="clear" w:color="auto" w:fill="auto"/>
            <w:vAlign w:val="center"/>
            <w:hideMark/>
          </w:tcPr>
          <w:p w14:paraId="7CD63900" w14:textId="5704A491" w:rsidR="00BE6130" w:rsidRPr="000C4C70" w:rsidRDefault="00F50C2F" w:rsidP="00BE6130">
            <w:pPr>
              <w:jc w:val="center"/>
              <w:rPr>
                <w:lang w:eastAsia="en-US"/>
              </w:rPr>
            </w:pPr>
            <w:r w:rsidRPr="000C4C70">
              <w:rPr>
                <w:lang w:eastAsia="en-US"/>
              </w:rPr>
              <w:t>X</w:t>
            </w:r>
          </w:p>
        </w:tc>
        <w:tc>
          <w:tcPr>
            <w:tcW w:w="530" w:type="pct"/>
            <w:shd w:val="clear" w:color="auto" w:fill="auto"/>
            <w:vAlign w:val="center"/>
            <w:hideMark/>
          </w:tcPr>
          <w:p w14:paraId="4155A0BF" w14:textId="46A6EBA5" w:rsidR="00BE6130" w:rsidRPr="000C4C70" w:rsidRDefault="00BE6130" w:rsidP="00BE6130">
            <w:pPr>
              <w:jc w:val="center"/>
              <w:rPr>
                <w:lang w:eastAsia="en-US"/>
              </w:rPr>
            </w:pPr>
            <w:r w:rsidRPr="000C4C70">
              <w:rPr>
                <w:lang w:eastAsia="en-US"/>
              </w:rPr>
              <w:t>0</w:t>
            </w:r>
          </w:p>
        </w:tc>
        <w:tc>
          <w:tcPr>
            <w:tcW w:w="552" w:type="pct"/>
            <w:shd w:val="clear" w:color="auto" w:fill="auto"/>
            <w:vAlign w:val="center"/>
            <w:hideMark/>
          </w:tcPr>
          <w:p w14:paraId="0D04A106" w14:textId="7626A6C4" w:rsidR="00BE6130" w:rsidRPr="000C4C70" w:rsidRDefault="00F50C2F" w:rsidP="00BE6130">
            <w:pPr>
              <w:jc w:val="center"/>
              <w:rPr>
                <w:lang w:eastAsia="en-US"/>
              </w:rPr>
            </w:pPr>
            <w:r w:rsidRPr="000C4C70">
              <w:rPr>
                <w:lang w:eastAsia="en-US"/>
              </w:rPr>
              <w:t>X</w:t>
            </w:r>
          </w:p>
        </w:tc>
        <w:tc>
          <w:tcPr>
            <w:tcW w:w="588" w:type="pct"/>
            <w:shd w:val="clear" w:color="auto" w:fill="auto"/>
            <w:vAlign w:val="center"/>
            <w:hideMark/>
          </w:tcPr>
          <w:p w14:paraId="05A20A4C" w14:textId="431CD4EB" w:rsidR="00BE6130" w:rsidRPr="000C4C70" w:rsidRDefault="00BE6130" w:rsidP="00BE6130">
            <w:pPr>
              <w:jc w:val="center"/>
              <w:rPr>
                <w:lang w:eastAsia="en-US"/>
              </w:rPr>
            </w:pPr>
            <w:r w:rsidRPr="000C4C70">
              <w:rPr>
                <w:lang w:eastAsia="en-US"/>
              </w:rPr>
              <w:t>0</w:t>
            </w:r>
          </w:p>
        </w:tc>
        <w:tc>
          <w:tcPr>
            <w:tcW w:w="660" w:type="pct"/>
            <w:shd w:val="clear" w:color="auto" w:fill="auto"/>
            <w:vAlign w:val="center"/>
            <w:hideMark/>
          </w:tcPr>
          <w:p w14:paraId="3471B20B" w14:textId="29DC0486" w:rsidR="00BE6130" w:rsidRPr="000C4C70" w:rsidRDefault="00BE6130" w:rsidP="00BE6130">
            <w:pPr>
              <w:jc w:val="center"/>
              <w:rPr>
                <w:lang w:eastAsia="en-US"/>
              </w:rPr>
            </w:pPr>
            <w:r w:rsidRPr="000C4C70">
              <w:rPr>
                <w:lang w:eastAsia="en-US"/>
              </w:rPr>
              <w:t>0</w:t>
            </w:r>
          </w:p>
        </w:tc>
      </w:tr>
      <w:tr w:rsidR="000C4C70" w:rsidRPr="000C4C70" w14:paraId="203508AB" w14:textId="77777777" w:rsidTr="006106CF">
        <w:trPr>
          <w:cantSplit/>
        </w:trPr>
        <w:tc>
          <w:tcPr>
            <w:tcW w:w="1135" w:type="pct"/>
            <w:shd w:val="clear" w:color="auto" w:fill="auto"/>
            <w:hideMark/>
          </w:tcPr>
          <w:p w14:paraId="00533B6E" w14:textId="77777777" w:rsidR="00BE6130" w:rsidRPr="000C4C70" w:rsidRDefault="00BE6130" w:rsidP="00BE6130">
            <w:pPr>
              <w:rPr>
                <w:lang w:eastAsia="en-US"/>
              </w:rPr>
            </w:pPr>
            <w:r w:rsidRPr="000C4C70">
              <w:rPr>
                <w:lang w:eastAsia="en-US"/>
              </w:rPr>
              <w:t>5. Precizēta finansiālā ietekme</w:t>
            </w:r>
          </w:p>
        </w:tc>
        <w:tc>
          <w:tcPr>
            <w:tcW w:w="531" w:type="pct"/>
            <w:vMerge w:val="restart"/>
            <w:shd w:val="clear" w:color="auto" w:fill="auto"/>
            <w:vAlign w:val="center"/>
            <w:hideMark/>
          </w:tcPr>
          <w:p w14:paraId="141B95F9" w14:textId="70928E71" w:rsidR="00BE6130" w:rsidRPr="000C4C70" w:rsidRDefault="00F50C2F" w:rsidP="00BE6130">
            <w:pPr>
              <w:jc w:val="center"/>
              <w:rPr>
                <w:lang w:eastAsia="en-US"/>
              </w:rPr>
            </w:pPr>
            <w:r w:rsidRPr="000C4C70">
              <w:rPr>
                <w:lang w:eastAsia="en-US"/>
              </w:rPr>
              <w:t>X</w:t>
            </w:r>
          </w:p>
        </w:tc>
        <w:tc>
          <w:tcPr>
            <w:tcW w:w="454" w:type="pct"/>
            <w:shd w:val="clear" w:color="auto" w:fill="auto"/>
            <w:vAlign w:val="center"/>
            <w:hideMark/>
          </w:tcPr>
          <w:p w14:paraId="01552EFB" w14:textId="38CF734D" w:rsidR="00BE6130" w:rsidRPr="000C4C70" w:rsidRDefault="00BE6130" w:rsidP="00BE6130">
            <w:pPr>
              <w:jc w:val="center"/>
              <w:rPr>
                <w:lang w:eastAsia="en-US"/>
              </w:rPr>
            </w:pPr>
            <w:r w:rsidRPr="000C4C70">
              <w:rPr>
                <w:lang w:eastAsia="en-US"/>
              </w:rPr>
              <w:t>0</w:t>
            </w:r>
          </w:p>
        </w:tc>
        <w:tc>
          <w:tcPr>
            <w:tcW w:w="550" w:type="pct"/>
            <w:gridSpan w:val="2"/>
            <w:vMerge w:val="restart"/>
            <w:shd w:val="clear" w:color="auto" w:fill="auto"/>
            <w:vAlign w:val="center"/>
            <w:hideMark/>
          </w:tcPr>
          <w:p w14:paraId="3BF7F389" w14:textId="6097A3FA" w:rsidR="00BE6130" w:rsidRPr="000C4C70" w:rsidRDefault="00F50C2F" w:rsidP="00BE6130">
            <w:pPr>
              <w:jc w:val="center"/>
              <w:rPr>
                <w:lang w:eastAsia="en-US"/>
              </w:rPr>
            </w:pPr>
            <w:r w:rsidRPr="000C4C70">
              <w:rPr>
                <w:lang w:eastAsia="en-US"/>
              </w:rPr>
              <w:t>X</w:t>
            </w:r>
          </w:p>
        </w:tc>
        <w:tc>
          <w:tcPr>
            <w:tcW w:w="530" w:type="pct"/>
            <w:shd w:val="clear" w:color="auto" w:fill="auto"/>
            <w:vAlign w:val="center"/>
            <w:hideMark/>
          </w:tcPr>
          <w:p w14:paraId="32469C14" w14:textId="40893580" w:rsidR="00BE6130" w:rsidRPr="000C4C70" w:rsidRDefault="00BE6130" w:rsidP="00BE6130">
            <w:pPr>
              <w:jc w:val="center"/>
              <w:rPr>
                <w:lang w:eastAsia="en-US"/>
              </w:rPr>
            </w:pPr>
            <w:r w:rsidRPr="000C4C70">
              <w:rPr>
                <w:lang w:eastAsia="en-US"/>
              </w:rPr>
              <w:t>0</w:t>
            </w:r>
          </w:p>
        </w:tc>
        <w:tc>
          <w:tcPr>
            <w:tcW w:w="552" w:type="pct"/>
            <w:vMerge w:val="restart"/>
            <w:shd w:val="clear" w:color="auto" w:fill="auto"/>
            <w:vAlign w:val="center"/>
            <w:hideMark/>
          </w:tcPr>
          <w:p w14:paraId="59DE8374" w14:textId="12129D65" w:rsidR="00BE6130" w:rsidRPr="000C4C70" w:rsidRDefault="00F50C2F" w:rsidP="00BE6130">
            <w:pPr>
              <w:jc w:val="center"/>
              <w:rPr>
                <w:lang w:eastAsia="en-US"/>
              </w:rPr>
            </w:pPr>
            <w:r w:rsidRPr="000C4C70">
              <w:rPr>
                <w:lang w:eastAsia="en-US"/>
              </w:rPr>
              <w:t>X</w:t>
            </w:r>
          </w:p>
        </w:tc>
        <w:tc>
          <w:tcPr>
            <w:tcW w:w="588" w:type="pct"/>
            <w:shd w:val="clear" w:color="auto" w:fill="auto"/>
            <w:vAlign w:val="center"/>
            <w:hideMark/>
          </w:tcPr>
          <w:p w14:paraId="4865F153" w14:textId="33DA71E1" w:rsidR="00BE6130" w:rsidRPr="000C4C70" w:rsidRDefault="00BE6130" w:rsidP="00BE6130">
            <w:pPr>
              <w:jc w:val="center"/>
              <w:rPr>
                <w:lang w:eastAsia="en-US"/>
              </w:rPr>
            </w:pPr>
            <w:r w:rsidRPr="000C4C70">
              <w:rPr>
                <w:lang w:eastAsia="en-US"/>
              </w:rPr>
              <w:t>0</w:t>
            </w:r>
          </w:p>
        </w:tc>
        <w:tc>
          <w:tcPr>
            <w:tcW w:w="660" w:type="pct"/>
            <w:shd w:val="clear" w:color="auto" w:fill="auto"/>
            <w:vAlign w:val="center"/>
            <w:hideMark/>
          </w:tcPr>
          <w:p w14:paraId="09E7E47B" w14:textId="53E03252" w:rsidR="00BE6130" w:rsidRPr="000C4C70" w:rsidRDefault="00BE6130" w:rsidP="00BE6130">
            <w:pPr>
              <w:jc w:val="center"/>
              <w:rPr>
                <w:lang w:eastAsia="en-US"/>
              </w:rPr>
            </w:pPr>
            <w:r w:rsidRPr="000C4C70">
              <w:rPr>
                <w:lang w:eastAsia="en-US"/>
              </w:rPr>
              <w:t>0</w:t>
            </w:r>
          </w:p>
        </w:tc>
      </w:tr>
      <w:tr w:rsidR="000C4C70" w:rsidRPr="000C4C70" w14:paraId="46B8281F" w14:textId="77777777" w:rsidTr="006106CF">
        <w:trPr>
          <w:cantSplit/>
        </w:trPr>
        <w:tc>
          <w:tcPr>
            <w:tcW w:w="1135" w:type="pct"/>
            <w:shd w:val="clear" w:color="auto" w:fill="auto"/>
            <w:hideMark/>
          </w:tcPr>
          <w:p w14:paraId="2D9A54A0" w14:textId="77777777" w:rsidR="00BE6130" w:rsidRPr="000C4C70" w:rsidRDefault="00BE6130" w:rsidP="00BE6130">
            <w:pPr>
              <w:rPr>
                <w:lang w:eastAsia="en-US"/>
              </w:rPr>
            </w:pPr>
            <w:r w:rsidRPr="000C4C70">
              <w:rPr>
                <w:lang w:eastAsia="en-US"/>
              </w:rPr>
              <w:t>5.1. valsts pamatbudžets</w:t>
            </w:r>
          </w:p>
        </w:tc>
        <w:tc>
          <w:tcPr>
            <w:tcW w:w="531" w:type="pct"/>
            <w:vMerge/>
            <w:shd w:val="clear" w:color="auto" w:fill="auto"/>
            <w:vAlign w:val="center"/>
            <w:hideMark/>
          </w:tcPr>
          <w:p w14:paraId="14AD4310" w14:textId="77777777" w:rsidR="00BE6130" w:rsidRPr="000C4C70" w:rsidRDefault="00BE6130" w:rsidP="00BE6130">
            <w:pPr>
              <w:jc w:val="center"/>
              <w:rPr>
                <w:lang w:eastAsia="en-US"/>
              </w:rPr>
            </w:pPr>
          </w:p>
        </w:tc>
        <w:tc>
          <w:tcPr>
            <w:tcW w:w="454" w:type="pct"/>
            <w:shd w:val="clear" w:color="auto" w:fill="auto"/>
            <w:vAlign w:val="center"/>
            <w:hideMark/>
          </w:tcPr>
          <w:p w14:paraId="55F2747C" w14:textId="05CEAFF1" w:rsidR="00BE6130" w:rsidRPr="000C4C70" w:rsidRDefault="00BE6130" w:rsidP="00BE6130">
            <w:pPr>
              <w:jc w:val="center"/>
              <w:rPr>
                <w:lang w:eastAsia="en-US"/>
              </w:rPr>
            </w:pPr>
            <w:r w:rsidRPr="000C4C70">
              <w:rPr>
                <w:lang w:eastAsia="en-US"/>
              </w:rPr>
              <w:t>0</w:t>
            </w:r>
          </w:p>
        </w:tc>
        <w:tc>
          <w:tcPr>
            <w:tcW w:w="550" w:type="pct"/>
            <w:gridSpan w:val="2"/>
            <w:vMerge/>
            <w:shd w:val="clear" w:color="auto" w:fill="auto"/>
            <w:vAlign w:val="center"/>
            <w:hideMark/>
          </w:tcPr>
          <w:p w14:paraId="516B9150" w14:textId="77777777" w:rsidR="00BE6130" w:rsidRPr="000C4C70" w:rsidRDefault="00BE6130" w:rsidP="00BE6130">
            <w:pPr>
              <w:jc w:val="center"/>
              <w:rPr>
                <w:lang w:eastAsia="en-US"/>
              </w:rPr>
            </w:pPr>
          </w:p>
        </w:tc>
        <w:tc>
          <w:tcPr>
            <w:tcW w:w="530" w:type="pct"/>
            <w:shd w:val="clear" w:color="auto" w:fill="auto"/>
            <w:vAlign w:val="center"/>
            <w:hideMark/>
          </w:tcPr>
          <w:p w14:paraId="26B282DB" w14:textId="43747035" w:rsidR="00BE6130" w:rsidRPr="000C4C70" w:rsidRDefault="00BE6130" w:rsidP="00BE6130">
            <w:pPr>
              <w:jc w:val="center"/>
              <w:rPr>
                <w:lang w:eastAsia="en-US"/>
              </w:rPr>
            </w:pPr>
            <w:r w:rsidRPr="000C4C70">
              <w:rPr>
                <w:lang w:eastAsia="en-US"/>
              </w:rPr>
              <w:t>0</w:t>
            </w:r>
          </w:p>
        </w:tc>
        <w:tc>
          <w:tcPr>
            <w:tcW w:w="552" w:type="pct"/>
            <w:vMerge/>
            <w:shd w:val="clear" w:color="auto" w:fill="auto"/>
            <w:vAlign w:val="center"/>
            <w:hideMark/>
          </w:tcPr>
          <w:p w14:paraId="2952C867" w14:textId="77777777" w:rsidR="00BE6130" w:rsidRPr="000C4C70" w:rsidRDefault="00BE6130" w:rsidP="00BE6130">
            <w:pPr>
              <w:jc w:val="center"/>
              <w:rPr>
                <w:lang w:eastAsia="en-US"/>
              </w:rPr>
            </w:pPr>
          </w:p>
        </w:tc>
        <w:tc>
          <w:tcPr>
            <w:tcW w:w="588" w:type="pct"/>
            <w:shd w:val="clear" w:color="auto" w:fill="auto"/>
            <w:vAlign w:val="center"/>
            <w:hideMark/>
          </w:tcPr>
          <w:p w14:paraId="67DEDDC6" w14:textId="66E91135" w:rsidR="00BE6130" w:rsidRPr="000C4C70" w:rsidRDefault="00BE6130" w:rsidP="00BE6130">
            <w:pPr>
              <w:jc w:val="center"/>
              <w:rPr>
                <w:lang w:eastAsia="en-US"/>
              </w:rPr>
            </w:pPr>
            <w:r w:rsidRPr="000C4C70">
              <w:rPr>
                <w:lang w:eastAsia="en-US"/>
              </w:rPr>
              <w:t>0</w:t>
            </w:r>
          </w:p>
        </w:tc>
        <w:tc>
          <w:tcPr>
            <w:tcW w:w="660" w:type="pct"/>
            <w:shd w:val="clear" w:color="auto" w:fill="auto"/>
            <w:vAlign w:val="center"/>
            <w:hideMark/>
          </w:tcPr>
          <w:p w14:paraId="6BEEE445" w14:textId="0946B258" w:rsidR="00BE6130" w:rsidRPr="000C4C70" w:rsidRDefault="00BE6130" w:rsidP="00BE6130">
            <w:pPr>
              <w:jc w:val="center"/>
              <w:rPr>
                <w:lang w:eastAsia="en-US"/>
              </w:rPr>
            </w:pPr>
            <w:r w:rsidRPr="000C4C70">
              <w:rPr>
                <w:lang w:eastAsia="en-US"/>
              </w:rPr>
              <w:t>0</w:t>
            </w:r>
          </w:p>
        </w:tc>
      </w:tr>
      <w:tr w:rsidR="000C4C70" w:rsidRPr="000C4C70" w14:paraId="72C0C732" w14:textId="77777777" w:rsidTr="006106CF">
        <w:trPr>
          <w:cantSplit/>
        </w:trPr>
        <w:tc>
          <w:tcPr>
            <w:tcW w:w="1135" w:type="pct"/>
            <w:shd w:val="clear" w:color="auto" w:fill="auto"/>
            <w:hideMark/>
          </w:tcPr>
          <w:p w14:paraId="21E80D3F" w14:textId="77777777" w:rsidR="00BE6130" w:rsidRPr="000C4C70" w:rsidRDefault="00BE6130" w:rsidP="00BE6130">
            <w:pPr>
              <w:rPr>
                <w:lang w:eastAsia="en-US"/>
              </w:rPr>
            </w:pPr>
            <w:r w:rsidRPr="000C4C70">
              <w:rPr>
                <w:lang w:eastAsia="en-US"/>
              </w:rPr>
              <w:t>5.2. speciālais budžets</w:t>
            </w:r>
          </w:p>
        </w:tc>
        <w:tc>
          <w:tcPr>
            <w:tcW w:w="531" w:type="pct"/>
            <w:vMerge/>
            <w:shd w:val="clear" w:color="auto" w:fill="auto"/>
            <w:vAlign w:val="center"/>
            <w:hideMark/>
          </w:tcPr>
          <w:p w14:paraId="5E50F783" w14:textId="77777777" w:rsidR="00BE6130" w:rsidRPr="000C4C70" w:rsidRDefault="00BE6130" w:rsidP="00BE6130">
            <w:pPr>
              <w:jc w:val="center"/>
              <w:rPr>
                <w:lang w:eastAsia="en-US"/>
              </w:rPr>
            </w:pPr>
          </w:p>
        </w:tc>
        <w:tc>
          <w:tcPr>
            <w:tcW w:w="454" w:type="pct"/>
            <w:shd w:val="clear" w:color="auto" w:fill="auto"/>
            <w:vAlign w:val="center"/>
            <w:hideMark/>
          </w:tcPr>
          <w:p w14:paraId="63343D52" w14:textId="2F001F81" w:rsidR="00BE6130" w:rsidRPr="000C4C70" w:rsidRDefault="00BE6130" w:rsidP="00BE6130">
            <w:pPr>
              <w:jc w:val="center"/>
              <w:rPr>
                <w:lang w:eastAsia="en-US"/>
              </w:rPr>
            </w:pPr>
            <w:r w:rsidRPr="000C4C70">
              <w:rPr>
                <w:lang w:eastAsia="en-US"/>
              </w:rPr>
              <w:t>0</w:t>
            </w:r>
          </w:p>
        </w:tc>
        <w:tc>
          <w:tcPr>
            <w:tcW w:w="550" w:type="pct"/>
            <w:gridSpan w:val="2"/>
            <w:vMerge/>
            <w:shd w:val="clear" w:color="auto" w:fill="auto"/>
            <w:vAlign w:val="center"/>
            <w:hideMark/>
          </w:tcPr>
          <w:p w14:paraId="66215FBC" w14:textId="77777777" w:rsidR="00BE6130" w:rsidRPr="000C4C70" w:rsidRDefault="00BE6130" w:rsidP="00BE6130">
            <w:pPr>
              <w:jc w:val="center"/>
              <w:rPr>
                <w:lang w:eastAsia="en-US"/>
              </w:rPr>
            </w:pPr>
          </w:p>
        </w:tc>
        <w:tc>
          <w:tcPr>
            <w:tcW w:w="530" w:type="pct"/>
            <w:shd w:val="clear" w:color="auto" w:fill="auto"/>
            <w:vAlign w:val="center"/>
            <w:hideMark/>
          </w:tcPr>
          <w:p w14:paraId="29628D2F" w14:textId="1F67C2E3" w:rsidR="00BE6130" w:rsidRPr="000C4C70" w:rsidRDefault="00BE6130" w:rsidP="00BE6130">
            <w:pPr>
              <w:jc w:val="center"/>
              <w:rPr>
                <w:lang w:eastAsia="en-US"/>
              </w:rPr>
            </w:pPr>
            <w:r w:rsidRPr="000C4C70">
              <w:rPr>
                <w:lang w:eastAsia="en-US"/>
              </w:rPr>
              <w:t>0</w:t>
            </w:r>
          </w:p>
        </w:tc>
        <w:tc>
          <w:tcPr>
            <w:tcW w:w="552" w:type="pct"/>
            <w:vMerge/>
            <w:shd w:val="clear" w:color="auto" w:fill="auto"/>
            <w:vAlign w:val="center"/>
            <w:hideMark/>
          </w:tcPr>
          <w:p w14:paraId="44CF0E67" w14:textId="77777777" w:rsidR="00BE6130" w:rsidRPr="000C4C70" w:rsidRDefault="00BE6130" w:rsidP="00BE6130">
            <w:pPr>
              <w:jc w:val="center"/>
              <w:rPr>
                <w:lang w:eastAsia="en-US"/>
              </w:rPr>
            </w:pPr>
          </w:p>
        </w:tc>
        <w:tc>
          <w:tcPr>
            <w:tcW w:w="588" w:type="pct"/>
            <w:shd w:val="clear" w:color="auto" w:fill="auto"/>
            <w:vAlign w:val="center"/>
            <w:hideMark/>
          </w:tcPr>
          <w:p w14:paraId="56686673" w14:textId="729B0C13" w:rsidR="00BE6130" w:rsidRPr="000C4C70" w:rsidRDefault="00BE6130" w:rsidP="00BE6130">
            <w:pPr>
              <w:jc w:val="center"/>
              <w:rPr>
                <w:lang w:eastAsia="en-US"/>
              </w:rPr>
            </w:pPr>
            <w:r w:rsidRPr="000C4C70">
              <w:rPr>
                <w:lang w:eastAsia="en-US"/>
              </w:rPr>
              <w:t>0</w:t>
            </w:r>
          </w:p>
        </w:tc>
        <w:tc>
          <w:tcPr>
            <w:tcW w:w="660" w:type="pct"/>
            <w:shd w:val="clear" w:color="auto" w:fill="auto"/>
            <w:vAlign w:val="center"/>
            <w:hideMark/>
          </w:tcPr>
          <w:p w14:paraId="7E2F2C3B" w14:textId="1261E69E" w:rsidR="00BE6130" w:rsidRPr="000C4C70" w:rsidRDefault="00BE6130" w:rsidP="00BE6130">
            <w:pPr>
              <w:jc w:val="center"/>
              <w:rPr>
                <w:lang w:eastAsia="en-US"/>
              </w:rPr>
            </w:pPr>
            <w:r w:rsidRPr="000C4C70">
              <w:rPr>
                <w:lang w:eastAsia="en-US"/>
              </w:rPr>
              <w:t>0</w:t>
            </w:r>
          </w:p>
        </w:tc>
      </w:tr>
      <w:tr w:rsidR="000C4C70" w:rsidRPr="000C4C70" w14:paraId="74156F11" w14:textId="77777777" w:rsidTr="006106CF">
        <w:trPr>
          <w:cantSplit/>
        </w:trPr>
        <w:tc>
          <w:tcPr>
            <w:tcW w:w="1135" w:type="pct"/>
            <w:shd w:val="clear" w:color="auto" w:fill="auto"/>
            <w:hideMark/>
          </w:tcPr>
          <w:p w14:paraId="68A6BB6D" w14:textId="77777777" w:rsidR="00BE6130" w:rsidRPr="000C4C70" w:rsidRDefault="00BE6130" w:rsidP="00BE6130">
            <w:pPr>
              <w:rPr>
                <w:lang w:eastAsia="en-US"/>
              </w:rPr>
            </w:pPr>
            <w:r w:rsidRPr="000C4C70">
              <w:rPr>
                <w:lang w:eastAsia="en-US"/>
              </w:rPr>
              <w:t>5.3. pašvaldību budžets</w:t>
            </w:r>
          </w:p>
        </w:tc>
        <w:tc>
          <w:tcPr>
            <w:tcW w:w="531" w:type="pct"/>
            <w:vMerge/>
            <w:shd w:val="clear" w:color="auto" w:fill="auto"/>
            <w:vAlign w:val="center"/>
            <w:hideMark/>
          </w:tcPr>
          <w:p w14:paraId="5F7144F3" w14:textId="77777777" w:rsidR="00BE6130" w:rsidRPr="000C4C70" w:rsidRDefault="00BE6130" w:rsidP="00BE6130">
            <w:pPr>
              <w:jc w:val="center"/>
              <w:rPr>
                <w:lang w:eastAsia="en-US"/>
              </w:rPr>
            </w:pPr>
          </w:p>
        </w:tc>
        <w:tc>
          <w:tcPr>
            <w:tcW w:w="454" w:type="pct"/>
            <w:shd w:val="clear" w:color="auto" w:fill="auto"/>
            <w:vAlign w:val="center"/>
            <w:hideMark/>
          </w:tcPr>
          <w:p w14:paraId="176EFDE3" w14:textId="4541F0B1" w:rsidR="00BE6130" w:rsidRPr="000C4C70" w:rsidRDefault="00BE6130" w:rsidP="00BE6130">
            <w:pPr>
              <w:jc w:val="center"/>
              <w:rPr>
                <w:lang w:eastAsia="en-US"/>
              </w:rPr>
            </w:pPr>
            <w:r w:rsidRPr="000C4C70">
              <w:rPr>
                <w:lang w:eastAsia="en-US"/>
              </w:rPr>
              <w:t>0</w:t>
            </w:r>
          </w:p>
        </w:tc>
        <w:tc>
          <w:tcPr>
            <w:tcW w:w="550" w:type="pct"/>
            <w:gridSpan w:val="2"/>
            <w:vMerge/>
            <w:shd w:val="clear" w:color="auto" w:fill="auto"/>
            <w:vAlign w:val="center"/>
            <w:hideMark/>
          </w:tcPr>
          <w:p w14:paraId="180EBE9D" w14:textId="77777777" w:rsidR="00BE6130" w:rsidRPr="000C4C70" w:rsidRDefault="00BE6130" w:rsidP="00BE6130">
            <w:pPr>
              <w:jc w:val="center"/>
              <w:rPr>
                <w:lang w:eastAsia="en-US"/>
              </w:rPr>
            </w:pPr>
          </w:p>
        </w:tc>
        <w:tc>
          <w:tcPr>
            <w:tcW w:w="530" w:type="pct"/>
            <w:shd w:val="clear" w:color="auto" w:fill="auto"/>
            <w:vAlign w:val="center"/>
            <w:hideMark/>
          </w:tcPr>
          <w:p w14:paraId="08B35C03" w14:textId="55CADE31" w:rsidR="00BE6130" w:rsidRPr="000C4C70" w:rsidRDefault="00BE6130" w:rsidP="00BE6130">
            <w:pPr>
              <w:jc w:val="center"/>
              <w:rPr>
                <w:lang w:eastAsia="en-US"/>
              </w:rPr>
            </w:pPr>
            <w:r w:rsidRPr="000C4C70">
              <w:rPr>
                <w:lang w:eastAsia="en-US"/>
              </w:rPr>
              <w:t>0</w:t>
            </w:r>
          </w:p>
        </w:tc>
        <w:tc>
          <w:tcPr>
            <w:tcW w:w="552" w:type="pct"/>
            <w:vMerge/>
            <w:shd w:val="clear" w:color="auto" w:fill="auto"/>
            <w:vAlign w:val="center"/>
            <w:hideMark/>
          </w:tcPr>
          <w:p w14:paraId="63DDA3CC" w14:textId="77777777" w:rsidR="00BE6130" w:rsidRPr="000C4C70" w:rsidRDefault="00BE6130" w:rsidP="00BE6130">
            <w:pPr>
              <w:jc w:val="center"/>
              <w:rPr>
                <w:lang w:eastAsia="en-US"/>
              </w:rPr>
            </w:pPr>
          </w:p>
        </w:tc>
        <w:tc>
          <w:tcPr>
            <w:tcW w:w="588" w:type="pct"/>
            <w:shd w:val="clear" w:color="auto" w:fill="auto"/>
            <w:vAlign w:val="center"/>
            <w:hideMark/>
          </w:tcPr>
          <w:p w14:paraId="48E1B89A" w14:textId="3D37D6D6" w:rsidR="00BE6130" w:rsidRPr="000C4C70" w:rsidRDefault="00BE6130" w:rsidP="00BE6130">
            <w:pPr>
              <w:jc w:val="center"/>
              <w:rPr>
                <w:lang w:eastAsia="en-US"/>
              </w:rPr>
            </w:pPr>
            <w:r w:rsidRPr="000C4C70">
              <w:rPr>
                <w:lang w:eastAsia="en-US"/>
              </w:rPr>
              <w:t>0</w:t>
            </w:r>
          </w:p>
        </w:tc>
        <w:tc>
          <w:tcPr>
            <w:tcW w:w="660" w:type="pct"/>
            <w:shd w:val="clear" w:color="auto" w:fill="auto"/>
            <w:vAlign w:val="center"/>
            <w:hideMark/>
          </w:tcPr>
          <w:p w14:paraId="1673D094" w14:textId="08F5ECCA" w:rsidR="00BE6130" w:rsidRPr="000C4C70" w:rsidRDefault="00BE6130" w:rsidP="00BE6130">
            <w:pPr>
              <w:jc w:val="center"/>
              <w:rPr>
                <w:lang w:eastAsia="en-US"/>
              </w:rPr>
            </w:pPr>
            <w:r w:rsidRPr="000C4C70">
              <w:rPr>
                <w:lang w:eastAsia="en-US"/>
              </w:rPr>
              <w:t>0</w:t>
            </w:r>
          </w:p>
        </w:tc>
      </w:tr>
      <w:tr w:rsidR="000C4C70" w:rsidRPr="000C4C70" w14:paraId="665044CB" w14:textId="77777777" w:rsidTr="0024766E">
        <w:trPr>
          <w:cantSplit/>
        </w:trPr>
        <w:tc>
          <w:tcPr>
            <w:tcW w:w="1135" w:type="pct"/>
            <w:shd w:val="clear" w:color="auto" w:fill="auto"/>
            <w:hideMark/>
          </w:tcPr>
          <w:p w14:paraId="7552CCF1" w14:textId="77777777" w:rsidR="00BE6130" w:rsidRPr="000C4C70" w:rsidRDefault="00BE6130" w:rsidP="00BE6130">
            <w:pPr>
              <w:rPr>
                <w:lang w:eastAsia="en-US"/>
              </w:rPr>
            </w:pPr>
            <w:r w:rsidRPr="000C4C70">
              <w:rPr>
                <w:lang w:eastAsia="en-US"/>
              </w:rPr>
              <w:lastRenderedPageBreak/>
              <w:t>6. Detalizēts ieņēmumu un izdevumu aprēķins (ja nepieciešams, detalizētu ieņēmumu un izdevumu aprēķinu var pievienot anotācijas pielikumā)</w:t>
            </w:r>
          </w:p>
        </w:tc>
        <w:tc>
          <w:tcPr>
            <w:tcW w:w="3865" w:type="pct"/>
            <w:gridSpan w:val="8"/>
            <w:vMerge w:val="restart"/>
            <w:shd w:val="clear" w:color="auto" w:fill="auto"/>
            <w:vAlign w:val="center"/>
          </w:tcPr>
          <w:p w14:paraId="699A1DC9" w14:textId="2A368E2C" w:rsidR="00C532F6" w:rsidRDefault="00816D2D" w:rsidP="00C532F6">
            <w:pPr>
              <w:ind w:left="109" w:right="115" w:firstLine="426"/>
              <w:jc w:val="both"/>
            </w:pPr>
            <w:r>
              <w:t xml:space="preserve">Pārmaksātā </w:t>
            </w:r>
            <w:r w:rsidR="00C532F6">
              <w:t xml:space="preserve">PVN </w:t>
            </w:r>
            <w:r>
              <w:t>summas</w:t>
            </w:r>
            <w:r w:rsidR="00C532F6">
              <w:t xml:space="preserve"> atmaks</w:t>
            </w:r>
            <w:r>
              <w:t>as</w:t>
            </w:r>
            <w:r w:rsidR="00C532F6">
              <w:t xml:space="preserve"> kārtības pilnveidošanas fiskālā ietekme šajā anotācijā netiek norādīta, jo faktiski šāda kārtība darbojas no </w:t>
            </w:r>
            <w:proofErr w:type="gramStart"/>
            <w:r w:rsidR="00C532F6">
              <w:t>2020.gada</w:t>
            </w:r>
            <w:proofErr w:type="gramEnd"/>
            <w:r w:rsidR="00C532F6">
              <w:t xml:space="preserve"> </w:t>
            </w:r>
            <w:r>
              <w:t>1.aprīļa</w:t>
            </w:r>
            <w:r w:rsidR="00C532F6">
              <w:t xml:space="preserve">. </w:t>
            </w:r>
            <w:r>
              <w:t>Fiskālās ietekmes aprēķins</w:t>
            </w:r>
            <w:r w:rsidR="00C532F6">
              <w:t xml:space="preserve"> tika iekļauts likumā </w:t>
            </w:r>
            <w:r w:rsidR="002D0E63">
              <w:t>“</w:t>
            </w:r>
            <w:r w:rsidR="00C532F6" w:rsidRPr="002472A7">
              <w:t>Par valsts apdraudējuma un tā seku novēršanas un pārvarēšanas pasākumiem sakarā ar Covid-19 izplatību</w:t>
            </w:r>
            <w:r w:rsidR="002D0E63">
              <w:t>”</w:t>
            </w:r>
            <w:r w:rsidR="00C532F6">
              <w:t xml:space="preserve">. </w:t>
            </w:r>
            <w:r>
              <w:t>Tā kā š</w:t>
            </w:r>
            <w:r w:rsidR="00C532F6">
              <w:t xml:space="preserve">is likumprojekts paredz </w:t>
            </w:r>
            <w:r>
              <w:t xml:space="preserve">uz noteiktu laika periodu no </w:t>
            </w:r>
            <w:proofErr w:type="gramStart"/>
            <w:r>
              <w:t>2020.gada</w:t>
            </w:r>
            <w:proofErr w:type="gramEnd"/>
            <w:r>
              <w:t xml:space="preserve"> 1.aprīļa līdz 31.decembrim ieviestās speciālās </w:t>
            </w:r>
            <w:r w:rsidR="002D0E63">
              <w:t xml:space="preserve">pārmaksātā PVN </w:t>
            </w:r>
            <w:r>
              <w:t xml:space="preserve">summas </w:t>
            </w:r>
            <w:r w:rsidR="00C532F6">
              <w:t>atmaks</w:t>
            </w:r>
            <w:r>
              <w:t>as</w:t>
            </w:r>
            <w:r w:rsidR="00C532F6">
              <w:t xml:space="preserve"> kārtības nepārtrauktu turpinājumu</w:t>
            </w:r>
            <w:r>
              <w:t>,</w:t>
            </w:r>
            <w:r w:rsidR="00C532F6">
              <w:t xml:space="preserve"> </w:t>
            </w:r>
            <w:r>
              <w:t>f</w:t>
            </w:r>
            <w:r w:rsidR="00C532F6">
              <w:t xml:space="preserve">iskālā ietekme ir tikai uz naudas plūsmu un tikai ieviešanas gadā. Tā tika novērtēta -60,0 milj. </w:t>
            </w:r>
            <w:r w:rsidR="00C532F6" w:rsidRPr="00B34A4E">
              <w:rPr>
                <w:i/>
              </w:rPr>
              <w:t>euro</w:t>
            </w:r>
            <w:r w:rsidR="00C532F6">
              <w:t xml:space="preserve"> apmērā un jau ir iekļauta bāzes prognozēs.</w:t>
            </w:r>
          </w:p>
          <w:p w14:paraId="3D9E0410" w14:textId="1EDF6C94" w:rsidR="003E0248" w:rsidRDefault="003E0248" w:rsidP="00303A1D">
            <w:pPr>
              <w:ind w:left="109" w:right="117" w:firstLine="393"/>
              <w:jc w:val="both"/>
              <w:rPr>
                <w:bCs/>
              </w:rPr>
            </w:pPr>
            <w:r w:rsidRPr="003540AE">
              <w:rPr>
                <w:bCs/>
              </w:rPr>
              <w:t>Saistībā ar grozījumiem</w:t>
            </w:r>
            <w:r>
              <w:rPr>
                <w:bCs/>
              </w:rPr>
              <w:t xml:space="preserve"> </w:t>
            </w:r>
            <w:r w:rsidRPr="002D0D83">
              <w:t>attiecībā uz paziņojum</w:t>
            </w:r>
            <w:r>
              <w:t xml:space="preserve">u par PVN samaksu iesniegšanas kārtības maiņu </w:t>
            </w:r>
            <w:r w:rsidRPr="003540AE">
              <w:rPr>
                <w:bCs/>
              </w:rPr>
              <w:t>būs nepieciešamas izmaiņas</w:t>
            </w:r>
            <w:r>
              <w:rPr>
                <w:bCs/>
              </w:rPr>
              <w:t xml:space="preserve"> VID informācijas sistēmās. Izmaiņu realizācija </w:t>
            </w:r>
            <w:proofErr w:type="gramStart"/>
            <w:r w:rsidR="0040624C">
              <w:rPr>
                <w:bCs/>
              </w:rPr>
              <w:t>2020.gadā</w:t>
            </w:r>
            <w:proofErr w:type="gramEnd"/>
            <w:r w:rsidR="0040624C">
              <w:rPr>
                <w:bCs/>
              </w:rPr>
              <w:t xml:space="preserve"> </w:t>
            </w:r>
            <w:r w:rsidRPr="003540AE">
              <w:rPr>
                <w:bCs/>
              </w:rPr>
              <w:t xml:space="preserve">var sasniegt 18 062 </w:t>
            </w:r>
            <w:r w:rsidRPr="003E0248">
              <w:rPr>
                <w:bCs/>
                <w:i/>
              </w:rPr>
              <w:t>euro</w:t>
            </w:r>
            <w:r w:rsidRPr="003540AE">
              <w:rPr>
                <w:bCs/>
              </w:rPr>
              <w:t xml:space="preserve"> ar PVN.</w:t>
            </w:r>
            <w:r>
              <w:rPr>
                <w:bCs/>
              </w:rPr>
              <w:t xml:space="preserve"> </w:t>
            </w:r>
          </w:p>
          <w:p w14:paraId="1A045420" w14:textId="77777777" w:rsidR="00AA22D7" w:rsidRDefault="00AA22D7" w:rsidP="00977E35">
            <w:pPr>
              <w:ind w:left="109" w:right="117" w:firstLine="393"/>
              <w:jc w:val="both"/>
              <w:rPr>
                <w:bCs/>
              </w:rPr>
            </w:pPr>
          </w:p>
          <w:p w14:paraId="0AFFD04E" w14:textId="53FC8843" w:rsidR="00977E35" w:rsidRPr="00977E35" w:rsidRDefault="00977E35" w:rsidP="00977E35">
            <w:pPr>
              <w:ind w:left="109" w:right="117" w:firstLine="393"/>
              <w:jc w:val="both"/>
              <w:rPr>
                <w:bCs/>
              </w:rPr>
            </w:pPr>
            <w:r w:rsidRPr="00977E35">
              <w:rPr>
                <w:bCs/>
              </w:rPr>
              <w:t xml:space="preserve">PVN samazinātās piecu procentu likmes saglabāšanas svaigiem augļiem, ogām un dārzeņiem no </w:t>
            </w:r>
            <w:proofErr w:type="gramStart"/>
            <w:r w:rsidRPr="00977E35">
              <w:rPr>
                <w:bCs/>
              </w:rPr>
              <w:t>2021.gada</w:t>
            </w:r>
            <w:proofErr w:type="gramEnd"/>
            <w:r w:rsidRPr="00977E35">
              <w:rPr>
                <w:bCs/>
              </w:rPr>
              <w:t xml:space="preserve"> 1.janvāra līdz 2023.gada 31.decembrim fiskālā ietekme uz PVN ieņēmumiem ir aprēķināta, ņemot vērā datus par ar PVN </w:t>
            </w:r>
            <w:r>
              <w:rPr>
                <w:bCs/>
              </w:rPr>
              <w:t xml:space="preserve">samazināto </w:t>
            </w:r>
            <w:r w:rsidRPr="00977E35">
              <w:rPr>
                <w:bCs/>
              </w:rPr>
              <w:t>piecu procentu likmi apliekamo vērtību tādiem augkopības uzņēmumiem, kā:</w:t>
            </w:r>
          </w:p>
          <w:p w14:paraId="12E6EE92" w14:textId="77777777" w:rsidR="00977E35" w:rsidRPr="00977E35" w:rsidRDefault="00977E35" w:rsidP="00977E35">
            <w:pPr>
              <w:ind w:left="109" w:right="117" w:firstLine="393"/>
              <w:jc w:val="both"/>
              <w:rPr>
                <w:bCs/>
              </w:rPr>
            </w:pPr>
            <w:r w:rsidRPr="00977E35">
              <w:rPr>
                <w:bCs/>
              </w:rPr>
              <w:t>•</w:t>
            </w:r>
            <w:r w:rsidRPr="00977E35">
              <w:rPr>
                <w:bCs/>
              </w:rPr>
              <w:tab/>
              <w:t>dārzeņu audzēšana (NACE 2.red. kods ir 01.13);</w:t>
            </w:r>
          </w:p>
          <w:p w14:paraId="405B0D4A" w14:textId="77777777" w:rsidR="00977E35" w:rsidRPr="00977E35" w:rsidRDefault="00977E35" w:rsidP="00977E35">
            <w:pPr>
              <w:ind w:left="109" w:right="117" w:firstLine="393"/>
              <w:jc w:val="both"/>
              <w:rPr>
                <w:bCs/>
              </w:rPr>
            </w:pPr>
            <w:r w:rsidRPr="00977E35">
              <w:rPr>
                <w:bCs/>
              </w:rPr>
              <w:t>•</w:t>
            </w:r>
            <w:r w:rsidRPr="00977E35">
              <w:rPr>
                <w:bCs/>
              </w:rPr>
              <w:tab/>
              <w:t>sēkleņu un kauleņu audzēšana (NACE 2.red. kods ir 01.24);</w:t>
            </w:r>
          </w:p>
          <w:p w14:paraId="001996D8" w14:textId="77777777" w:rsidR="00977E35" w:rsidRPr="00977E35" w:rsidRDefault="00977E35" w:rsidP="00977E35">
            <w:pPr>
              <w:ind w:left="109" w:right="117" w:firstLine="393"/>
              <w:jc w:val="both"/>
              <w:rPr>
                <w:bCs/>
              </w:rPr>
            </w:pPr>
            <w:r w:rsidRPr="00977E35">
              <w:rPr>
                <w:bCs/>
              </w:rPr>
              <w:t>•</w:t>
            </w:r>
            <w:r w:rsidRPr="00977E35">
              <w:rPr>
                <w:bCs/>
              </w:rPr>
              <w:tab/>
              <w:t>citu koku un krūmu augļu un riekstu audzēšana (NACE 2.red. kods ir 01.25).</w:t>
            </w:r>
          </w:p>
          <w:p w14:paraId="46D8B970" w14:textId="42744FF2" w:rsidR="00977E35" w:rsidRDefault="00977E35" w:rsidP="00FF529D">
            <w:pPr>
              <w:ind w:left="109" w:right="117" w:firstLine="393"/>
              <w:jc w:val="both"/>
              <w:rPr>
                <w:bCs/>
              </w:rPr>
            </w:pPr>
            <w:r w:rsidRPr="00977E35">
              <w:rPr>
                <w:bCs/>
              </w:rPr>
              <w:t xml:space="preserve">Ekstrapolējot minēto nozaru attīstību un piemērojot eksperta vērtējumu par PVN ieņēmumiem no šīm nozarēm, PVN ieņēmumu samazinājums saistībā ar PVN samazinātās piecu procentu likmes saglabāšanu svaigiem augļiem, ogām un dārzeņiem no </w:t>
            </w:r>
            <w:proofErr w:type="gramStart"/>
            <w:r w:rsidRPr="00977E35">
              <w:rPr>
                <w:bCs/>
              </w:rPr>
              <w:t>2021.gada</w:t>
            </w:r>
            <w:proofErr w:type="gramEnd"/>
            <w:r w:rsidRPr="00977E35">
              <w:rPr>
                <w:bCs/>
              </w:rPr>
              <w:t xml:space="preserve"> 1.janvāra līdz 2023.gada 31.decembrim 2021., 2022.un 2023.gadā tiek aprēķināts 3.0 milj. </w:t>
            </w:r>
            <w:r w:rsidRPr="00652A4C">
              <w:rPr>
                <w:bCs/>
                <w:i/>
              </w:rPr>
              <w:t xml:space="preserve">euro </w:t>
            </w:r>
            <w:r w:rsidRPr="00977E35">
              <w:rPr>
                <w:bCs/>
              </w:rPr>
              <w:t>apmērā.</w:t>
            </w:r>
            <w:r w:rsidR="00AA22D7">
              <w:rPr>
                <w:bCs/>
              </w:rPr>
              <w:t xml:space="preserve">                                                                                  </w:t>
            </w:r>
          </w:p>
          <w:p w14:paraId="153408B5" w14:textId="77777777" w:rsidR="00AA22D7" w:rsidRDefault="00AA22D7" w:rsidP="00AA22D7">
            <w:pPr>
              <w:ind w:left="109" w:right="115" w:firstLine="284"/>
              <w:jc w:val="both"/>
            </w:pPr>
            <w:r w:rsidRPr="0086503D">
              <w:t>Saskaņā ar biedrības “Zaļā brīvība” mājas lapā publicēto pētījumu “</w:t>
            </w:r>
            <w:hyperlink r:id="rId14" w:history="1">
              <w:r w:rsidRPr="00FF2022">
                <w:rPr>
                  <w:rStyle w:val="Hyperlink"/>
                  <w:color w:val="auto"/>
                  <w:u w:val="none"/>
                </w:rPr>
                <w:t>D</w:t>
              </w:r>
            </w:hyperlink>
            <w:hyperlink r:id="rId15" w:history="1">
              <w:r w:rsidRPr="00FF2022">
                <w:rPr>
                  <w:rStyle w:val="Hyperlink"/>
                  <w:color w:val="auto"/>
                  <w:u w:val="none"/>
                </w:rPr>
                <w:t>zērienu taras iepakojuma depozīta sistēmas Baltijas valstīs</w:t>
              </w:r>
            </w:hyperlink>
            <w:r>
              <w:rPr>
                <w:rStyle w:val="Hyperlink"/>
                <w:color w:val="auto"/>
              </w:rPr>
              <w:t>”</w:t>
            </w:r>
            <w:r w:rsidRPr="0086503D">
              <w:t xml:space="preserve"> (a</w:t>
            </w:r>
            <w:r>
              <w:t>utori Balcers O., Brizga J., Moora H., Raal</w:t>
            </w:r>
            <w:r w:rsidRPr="0086503D">
              <w:t xml:space="preserve"> R., </w:t>
            </w:r>
            <w:proofErr w:type="gramStart"/>
            <w:r w:rsidRPr="0086503D">
              <w:t>2019.gads</w:t>
            </w:r>
            <w:proofErr w:type="gramEnd"/>
            <w:r w:rsidRPr="0086503D">
              <w:t>) kopā gadā pārdodamais iepakojuma daudzums tiek prognozēts 355,1 milj. vienību. Atbilstoši VARAM sagatavotajam noteikumu projekt</w:t>
            </w:r>
            <w:r>
              <w:t>am</w:t>
            </w:r>
            <w:r w:rsidRPr="0086503D">
              <w:t xml:space="preserve"> </w:t>
            </w:r>
            <w:r w:rsidRPr="0086503D">
              <w:rPr>
                <w:bCs/>
              </w:rPr>
              <w:t xml:space="preserve">“Depozīta sistēmas darbības noteikumi” (VSS-277) depozīta maksu ir plānots noteikt 0,10 </w:t>
            </w:r>
            <w:r w:rsidRPr="0086503D">
              <w:rPr>
                <w:bCs/>
                <w:i/>
              </w:rPr>
              <w:t>euro</w:t>
            </w:r>
            <w:r w:rsidRPr="0086503D">
              <w:rPr>
                <w:bCs/>
              </w:rPr>
              <w:t xml:space="preserve"> vērtībā, bet saskaņā ar</w:t>
            </w:r>
            <w:r>
              <w:rPr>
                <w:bCs/>
              </w:rPr>
              <w:t xml:space="preserve"> noteikumu projekta</w:t>
            </w:r>
            <w:r w:rsidRPr="0086503D">
              <w:rPr>
                <w:bCs/>
              </w:rPr>
              <w:t xml:space="preserve"> anotācijā iekļauto informāciju ir plānots atpakaļ saņemt līdz 90 % iepakojuma vienību. Respektīvi, atpakaļ nesaņemti tiks 10% jeb 35,51 milj. iepakojuma vienību par kopējo depozīta maksas summu 3,55 milj. </w:t>
            </w:r>
            <w:r w:rsidRPr="0086503D">
              <w:rPr>
                <w:bCs/>
                <w:i/>
              </w:rPr>
              <w:t xml:space="preserve">euro. </w:t>
            </w:r>
            <w:r w:rsidRPr="0086503D">
              <w:rPr>
                <w:bCs/>
              </w:rPr>
              <w:t>Depozīta iepakotājiem, iesniedzot PVN de</w:t>
            </w:r>
            <w:r>
              <w:rPr>
                <w:bCs/>
              </w:rPr>
              <w:t xml:space="preserve">klarāciju par iepriekšējo taksācijas gadu, </w:t>
            </w:r>
            <w:r w:rsidRPr="0086503D">
              <w:rPr>
                <w:bCs/>
              </w:rPr>
              <w:t xml:space="preserve">par šo summu ir jākoriģē </w:t>
            </w:r>
            <w:r w:rsidRPr="0086503D">
              <w:t xml:space="preserve">piegādāto preču ar PVN apliekamo vērtību. Tā kā uzskatāms, ka šajā summā jau ir iekļauts PVN, tad, veicot korekcijas par iepriekšējo taksācijas gadu, valsts budžetā maksājamā PVN summa ir aprēķināta 616 289 </w:t>
            </w:r>
            <w:r w:rsidRPr="0086503D">
              <w:rPr>
                <w:i/>
              </w:rPr>
              <w:t>euro</w:t>
            </w:r>
            <w:r w:rsidRPr="0086503D">
              <w:t xml:space="preserve"> apmērā. </w:t>
            </w:r>
            <w:r>
              <w:t>D</w:t>
            </w:r>
            <w:r w:rsidRPr="0086503D">
              <w:t>epozīta sistēma tiek ieviesta ar 2022.gada 1.februāri,</w:t>
            </w:r>
            <w:r>
              <w:t xml:space="preserve"> tādējādi</w:t>
            </w:r>
            <w:r w:rsidRPr="0086503D">
              <w:t xml:space="preserve"> ar PVN apliekamās vērtības par atpakaļ nesaņemto depozīta iepakojumu koriģēšana ir jāveic 2023.gadā, iesniedzot PVN gada deklarāciju par 2022.gadu. Tomēr jāņem vērā, ka 2022.gadā depozīta sistēma darbosies tikai 11 mēnešus. Līdz ar to valsts budžetā maksājamā PVN summa 2023.gadā </w:t>
            </w:r>
            <w:r>
              <w:t xml:space="preserve">indikatīvi </w:t>
            </w:r>
            <w:r w:rsidRPr="0086503D">
              <w:t xml:space="preserve">ir aprēķināta 564 932 </w:t>
            </w:r>
            <w:r w:rsidRPr="0086503D">
              <w:rPr>
                <w:i/>
              </w:rPr>
              <w:t>euro</w:t>
            </w:r>
            <w:r>
              <w:t xml:space="preserve"> apmērā, kas tiks precizēta un ņemta vērā, izstrādājot likumprojektu “Par valsts budžetu 2022.gadam”.</w:t>
            </w:r>
          </w:p>
          <w:p w14:paraId="46091AA7" w14:textId="268B3E10" w:rsidR="00AA22D7" w:rsidRPr="003E0248" w:rsidRDefault="00AA22D7" w:rsidP="00FF529D">
            <w:pPr>
              <w:ind w:left="109" w:right="117" w:firstLine="393"/>
              <w:jc w:val="both"/>
              <w:rPr>
                <w:bCs/>
              </w:rPr>
            </w:pPr>
          </w:p>
        </w:tc>
      </w:tr>
      <w:tr w:rsidR="000C4C70" w:rsidRPr="000C4C70" w14:paraId="53CD1308" w14:textId="77777777" w:rsidTr="0024766E">
        <w:trPr>
          <w:cantSplit/>
        </w:trPr>
        <w:tc>
          <w:tcPr>
            <w:tcW w:w="1135" w:type="pct"/>
            <w:shd w:val="clear" w:color="auto" w:fill="auto"/>
            <w:hideMark/>
          </w:tcPr>
          <w:p w14:paraId="306C0E91" w14:textId="77777777" w:rsidR="00BE6130" w:rsidRPr="000C4C70" w:rsidRDefault="00BE6130" w:rsidP="00BE6130">
            <w:pPr>
              <w:rPr>
                <w:lang w:eastAsia="en-US"/>
              </w:rPr>
            </w:pPr>
            <w:r w:rsidRPr="000C4C70">
              <w:rPr>
                <w:lang w:eastAsia="en-US"/>
              </w:rPr>
              <w:t>6.1. detalizēts ieņēmumu aprēķins</w:t>
            </w:r>
          </w:p>
        </w:tc>
        <w:tc>
          <w:tcPr>
            <w:tcW w:w="3865" w:type="pct"/>
            <w:gridSpan w:val="8"/>
            <w:vMerge/>
            <w:shd w:val="clear" w:color="auto" w:fill="auto"/>
            <w:vAlign w:val="center"/>
            <w:hideMark/>
          </w:tcPr>
          <w:p w14:paraId="3C779CF4" w14:textId="77777777" w:rsidR="00BE6130" w:rsidRPr="000C4C70" w:rsidRDefault="00BE6130" w:rsidP="00BE6130">
            <w:pPr>
              <w:jc w:val="center"/>
              <w:rPr>
                <w:lang w:eastAsia="en-US"/>
              </w:rPr>
            </w:pPr>
          </w:p>
        </w:tc>
      </w:tr>
      <w:tr w:rsidR="000C4C70" w:rsidRPr="000C4C70" w14:paraId="66695AC0" w14:textId="77777777" w:rsidTr="0024766E">
        <w:trPr>
          <w:cantSplit/>
        </w:trPr>
        <w:tc>
          <w:tcPr>
            <w:tcW w:w="1135" w:type="pct"/>
            <w:shd w:val="clear" w:color="auto" w:fill="auto"/>
            <w:hideMark/>
          </w:tcPr>
          <w:p w14:paraId="7D60044D" w14:textId="77777777" w:rsidR="00BE6130" w:rsidRPr="000C4C70" w:rsidRDefault="00BE6130" w:rsidP="00BE6130">
            <w:pPr>
              <w:rPr>
                <w:lang w:eastAsia="en-US"/>
              </w:rPr>
            </w:pPr>
            <w:r w:rsidRPr="000C4C70">
              <w:rPr>
                <w:lang w:eastAsia="en-US"/>
              </w:rPr>
              <w:t>6.2. detalizēts izdevumu aprēķins</w:t>
            </w:r>
          </w:p>
        </w:tc>
        <w:tc>
          <w:tcPr>
            <w:tcW w:w="3865" w:type="pct"/>
            <w:gridSpan w:val="8"/>
            <w:vMerge/>
            <w:shd w:val="clear" w:color="auto" w:fill="auto"/>
            <w:vAlign w:val="center"/>
            <w:hideMark/>
          </w:tcPr>
          <w:p w14:paraId="6791FB7A" w14:textId="77777777" w:rsidR="00BE6130" w:rsidRPr="000C4C70" w:rsidRDefault="00BE6130" w:rsidP="00BE6130">
            <w:pPr>
              <w:jc w:val="center"/>
              <w:rPr>
                <w:lang w:eastAsia="en-US"/>
              </w:rPr>
            </w:pPr>
          </w:p>
        </w:tc>
      </w:tr>
      <w:tr w:rsidR="000C4C70" w:rsidRPr="000C4C70" w14:paraId="1496F36F" w14:textId="77777777" w:rsidTr="0024766E">
        <w:trPr>
          <w:cantSplit/>
        </w:trPr>
        <w:tc>
          <w:tcPr>
            <w:tcW w:w="1135" w:type="pct"/>
            <w:shd w:val="clear" w:color="auto" w:fill="auto"/>
            <w:hideMark/>
          </w:tcPr>
          <w:p w14:paraId="72CB5303" w14:textId="77777777" w:rsidR="00BE6130" w:rsidRPr="000C4C70" w:rsidRDefault="00BE6130" w:rsidP="00BE6130">
            <w:pPr>
              <w:rPr>
                <w:lang w:eastAsia="en-US"/>
              </w:rPr>
            </w:pPr>
            <w:r w:rsidRPr="000C4C70">
              <w:rPr>
                <w:lang w:eastAsia="en-US"/>
              </w:rPr>
              <w:lastRenderedPageBreak/>
              <w:t>7. Amata vietu skaita izmaiņas</w:t>
            </w:r>
          </w:p>
        </w:tc>
        <w:tc>
          <w:tcPr>
            <w:tcW w:w="3865" w:type="pct"/>
            <w:gridSpan w:val="8"/>
            <w:shd w:val="clear" w:color="auto" w:fill="auto"/>
            <w:hideMark/>
          </w:tcPr>
          <w:p w14:paraId="7D3C7D11" w14:textId="3CA0AE7D" w:rsidR="00BE6130" w:rsidRPr="000C4C70" w:rsidRDefault="00BE6130" w:rsidP="00BE6130">
            <w:pPr>
              <w:rPr>
                <w:lang w:eastAsia="en-US"/>
              </w:rPr>
            </w:pPr>
            <w:r w:rsidRPr="000C4C70">
              <w:rPr>
                <w:lang w:eastAsia="en-US"/>
              </w:rPr>
              <w:t>Nav</w:t>
            </w:r>
          </w:p>
        </w:tc>
      </w:tr>
      <w:tr w:rsidR="000C4C70" w:rsidRPr="000C4C70" w14:paraId="104D131E" w14:textId="77777777" w:rsidTr="0024766E">
        <w:trPr>
          <w:cantSplit/>
        </w:trPr>
        <w:tc>
          <w:tcPr>
            <w:tcW w:w="1135" w:type="pct"/>
            <w:shd w:val="clear" w:color="auto" w:fill="auto"/>
            <w:hideMark/>
          </w:tcPr>
          <w:p w14:paraId="7E059F58" w14:textId="77777777" w:rsidR="00BE6130" w:rsidRPr="000C4C70" w:rsidRDefault="00BE6130" w:rsidP="00BE6130">
            <w:pPr>
              <w:rPr>
                <w:lang w:eastAsia="en-US"/>
              </w:rPr>
            </w:pPr>
            <w:r w:rsidRPr="000C4C70">
              <w:rPr>
                <w:lang w:eastAsia="en-US"/>
              </w:rPr>
              <w:t>8. Cita informācija</w:t>
            </w:r>
          </w:p>
        </w:tc>
        <w:tc>
          <w:tcPr>
            <w:tcW w:w="3865" w:type="pct"/>
            <w:gridSpan w:val="8"/>
            <w:shd w:val="clear" w:color="auto" w:fill="auto"/>
            <w:hideMark/>
          </w:tcPr>
          <w:p w14:paraId="66CEE6B2" w14:textId="77777777" w:rsidR="00BE6130" w:rsidRDefault="0040624C" w:rsidP="00BE6130">
            <w:pPr>
              <w:ind w:right="109"/>
              <w:jc w:val="both"/>
            </w:pPr>
            <w:r w:rsidRPr="00761108">
              <w:t xml:space="preserve">Izmaiņu veikšanai VID informācijas sistēmās nepieciešamais finansējums </w:t>
            </w:r>
            <w:proofErr w:type="gramStart"/>
            <w:r w:rsidRPr="00761108">
              <w:t>2020.gadā</w:t>
            </w:r>
            <w:proofErr w:type="gramEnd"/>
            <w:r w:rsidRPr="00761108">
              <w:t xml:space="preserve"> 18 062 </w:t>
            </w:r>
            <w:r w:rsidRPr="00761108">
              <w:rPr>
                <w:i/>
                <w:iCs/>
              </w:rPr>
              <w:t>euro</w:t>
            </w:r>
            <w:r w:rsidRPr="00761108">
              <w:t xml:space="preserve"> apmērā tiks nodrošināts Finanšu ministrijas budžeta programmā 33.00.00 “Valsts ieņēmumu un muitas politikas nodrošināšana” piešķirtā finansējuma ietvaros.</w:t>
            </w:r>
          </w:p>
          <w:p w14:paraId="38BEF1C0" w14:textId="74A09EF8" w:rsidR="00FE4414" w:rsidRPr="000C4C70" w:rsidRDefault="00FE4414" w:rsidP="00FE4414">
            <w:pPr>
              <w:ind w:right="109"/>
              <w:jc w:val="both"/>
              <w:rPr>
                <w:lang w:eastAsia="en-US"/>
              </w:rPr>
            </w:pPr>
            <w:r w:rsidRPr="00FE4414">
              <w:rPr>
                <w:lang w:eastAsia="en-US"/>
              </w:rPr>
              <w:t xml:space="preserve">Saskaņā ar Ministru kabineta </w:t>
            </w:r>
            <w:proofErr w:type="gramStart"/>
            <w:r w:rsidRPr="00FE4414">
              <w:rPr>
                <w:lang w:eastAsia="en-US"/>
              </w:rPr>
              <w:t>2020.gada</w:t>
            </w:r>
            <w:proofErr w:type="gramEnd"/>
            <w:r w:rsidRPr="00FE4414">
              <w:rPr>
                <w:lang w:eastAsia="en-US"/>
              </w:rPr>
              <w:t xml:space="preserve"> 22.sept</w:t>
            </w:r>
            <w:r>
              <w:rPr>
                <w:lang w:eastAsia="en-US"/>
              </w:rPr>
              <w:t>embra sēdes protokollēmuma Nr.55, 38</w:t>
            </w:r>
            <w:r w:rsidRPr="00FE4414">
              <w:rPr>
                <w:lang w:eastAsia="en-US"/>
              </w:rPr>
              <w:t xml:space="preserve">.§ 27.punktu akciju sabiedrības “Latvijas valsts meži” dividendēs izmaksājamā peļņas daļa par 2020., 2021. un 2022.gadu ir palielināta par 3,0 milj. </w:t>
            </w:r>
            <w:r w:rsidRPr="00FE4414">
              <w:rPr>
                <w:i/>
                <w:lang w:eastAsia="en-US"/>
              </w:rPr>
              <w:t>euro</w:t>
            </w:r>
            <w:r w:rsidRPr="00FE4414">
              <w:rPr>
                <w:lang w:eastAsia="en-US"/>
              </w:rPr>
              <w:t xml:space="preserve"> ik gadu, lai kompensētu PVN ieņēmumu samazinājumu saistībā ar PVN samazinātās piecu procentu apmērā likmes saglabāšanu svaigiem augļiem, ogām un dārzeņiem no 2021.gada 1.janvāra līdz 2023.gada 31.decembrim.</w:t>
            </w:r>
          </w:p>
        </w:tc>
      </w:tr>
    </w:tbl>
    <w:p w14:paraId="6E1B4199" w14:textId="7F365A23" w:rsidR="00706415" w:rsidRPr="000C4C70" w:rsidRDefault="00706415"/>
    <w:tbl>
      <w:tblPr>
        <w:tblpPr w:leftFromText="180" w:rightFromText="180" w:vertAnchor="text" w:horzAnchor="margin" w:tblpY="53"/>
        <w:tblW w:w="56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23"/>
        <w:gridCol w:w="2442"/>
        <w:gridCol w:w="6486"/>
      </w:tblGrid>
      <w:tr w:rsidR="000C4C70" w:rsidRPr="000C4C70" w14:paraId="357D965D" w14:textId="77777777" w:rsidTr="0024766E">
        <w:trPr>
          <w:cantSplit/>
        </w:trPr>
        <w:tc>
          <w:tcPr>
            <w:tcW w:w="5000" w:type="pct"/>
            <w:gridSpan w:val="3"/>
            <w:vAlign w:val="center"/>
            <w:hideMark/>
          </w:tcPr>
          <w:p w14:paraId="605845E0" w14:textId="77777777" w:rsidR="00706415" w:rsidRPr="000C4C70" w:rsidRDefault="00706415" w:rsidP="00706415">
            <w:pPr>
              <w:jc w:val="center"/>
              <w:rPr>
                <w:b/>
                <w:bCs/>
              </w:rPr>
            </w:pPr>
            <w:r w:rsidRPr="000C4C70">
              <w:rPr>
                <w:b/>
                <w:bCs/>
              </w:rPr>
              <w:t>IV. Tiesību akta projekta ietekme uz spēkā esošo tiesību normu sistēmu</w:t>
            </w:r>
          </w:p>
        </w:tc>
      </w:tr>
      <w:tr w:rsidR="000C4C70" w:rsidRPr="000C4C70" w14:paraId="1C667462" w14:textId="77777777" w:rsidTr="0024766E">
        <w:trPr>
          <w:cantSplit/>
        </w:trPr>
        <w:tc>
          <w:tcPr>
            <w:tcW w:w="226" w:type="pct"/>
            <w:hideMark/>
          </w:tcPr>
          <w:p w14:paraId="2DFE4E85" w14:textId="77777777" w:rsidR="00706415" w:rsidRPr="000C4C70" w:rsidRDefault="00706415" w:rsidP="00706415">
            <w:pPr>
              <w:jc w:val="center"/>
            </w:pPr>
            <w:r w:rsidRPr="000C4C70">
              <w:t>1.</w:t>
            </w:r>
          </w:p>
        </w:tc>
        <w:tc>
          <w:tcPr>
            <w:tcW w:w="1306" w:type="pct"/>
            <w:hideMark/>
          </w:tcPr>
          <w:p w14:paraId="10170AE7" w14:textId="77777777" w:rsidR="00706415" w:rsidRPr="000C4C70" w:rsidRDefault="00706415" w:rsidP="00706415">
            <w:r w:rsidRPr="000C4C70">
              <w:t>Saistītie tiesību aktu projekti</w:t>
            </w:r>
          </w:p>
        </w:tc>
        <w:tc>
          <w:tcPr>
            <w:tcW w:w="3468" w:type="pct"/>
            <w:hideMark/>
          </w:tcPr>
          <w:p w14:paraId="3531E690" w14:textId="7D2301C0" w:rsidR="006C2113" w:rsidRDefault="006C2113" w:rsidP="00706415">
            <w:pPr>
              <w:ind w:left="83" w:right="109"/>
              <w:jc w:val="both"/>
            </w:pPr>
            <w:r w:rsidRPr="000C4C70">
              <w:t>Saistībā ar likumprojektā iekļauto regulējumu i</w:t>
            </w:r>
            <w:r w:rsidR="00706415" w:rsidRPr="000C4C70">
              <w:t>r nepieciešams</w:t>
            </w:r>
            <w:r w:rsidRPr="000C4C70">
              <w:t xml:space="preserve"> veikt grozījumus šādos normatīvajos aktos:</w:t>
            </w:r>
          </w:p>
          <w:p w14:paraId="391EFDE7" w14:textId="1D5F23EC" w:rsidR="00687FA2" w:rsidRDefault="00816D2D" w:rsidP="00706415">
            <w:pPr>
              <w:ind w:left="83" w:right="109"/>
              <w:jc w:val="both"/>
            </w:pPr>
            <w:r>
              <w:t>1</w:t>
            </w:r>
            <w:r w:rsidR="006C2113" w:rsidRPr="000C4C70">
              <w:t>)</w:t>
            </w:r>
            <w:r w:rsidR="00706415" w:rsidRPr="000C4C70">
              <w:t xml:space="preserve"> </w:t>
            </w:r>
            <w:r w:rsidR="00687FA2">
              <w:t xml:space="preserve">Ministru kabineta </w:t>
            </w:r>
            <w:proofErr w:type="gramStart"/>
            <w:r w:rsidR="00687FA2">
              <w:t>2013.gada</w:t>
            </w:r>
            <w:proofErr w:type="gramEnd"/>
            <w:r w:rsidR="00687FA2">
              <w:t xml:space="preserve"> 3.janvāra</w:t>
            </w:r>
            <w:r w:rsidR="00687FA2" w:rsidRPr="000C4C70">
              <w:t xml:space="preserve"> noteikumos Nr.17</w:t>
            </w:r>
            <w:r w:rsidR="00687FA2">
              <w:t xml:space="preserve"> “</w:t>
            </w:r>
            <w:r w:rsidR="00687FA2" w:rsidRPr="00CA5378">
              <w:t>Pievienotās vērtības nodokļa likuma normu piemērošanas kārtība un atsevišķas prasības pievienotās vērtības nodokļa maksāšanai un administrēšanai</w:t>
            </w:r>
            <w:r w:rsidR="00687FA2">
              <w:t>”</w:t>
            </w:r>
            <w:r w:rsidR="00687FA2" w:rsidRPr="000C4C70">
              <w:t xml:space="preserve">, lai </w:t>
            </w:r>
            <w:r w:rsidR="00687FA2">
              <w:t>precizētu regulējumu par VID lēmumu paziņošanu un saziņas veidi</w:t>
            </w:r>
            <w:r w:rsidR="00FF2022">
              <w:t>em starp VID un PVN maksātājiem;</w:t>
            </w:r>
          </w:p>
          <w:p w14:paraId="7BFC219D" w14:textId="65F1DC4A" w:rsidR="00CA5378" w:rsidRDefault="00816D2D" w:rsidP="00354040">
            <w:pPr>
              <w:ind w:left="83" w:right="109"/>
              <w:jc w:val="both"/>
            </w:pPr>
            <w:r>
              <w:t>2</w:t>
            </w:r>
            <w:r w:rsidR="00687FA2">
              <w:t xml:space="preserve">) </w:t>
            </w:r>
            <w:r w:rsidR="00706415" w:rsidRPr="000C4C70">
              <w:t xml:space="preserve">Ministru kabineta </w:t>
            </w:r>
            <w:proofErr w:type="gramStart"/>
            <w:r w:rsidR="00706415" w:rsidRPr="000C4C70">
              <w:t>2013.gada</w:t>
            </w:r>
            <w:proofErr w:type="gramEnd"/>
            <w:r w:rsidR="00706415" w:rsidRPr="000C4C70">
              <w:t xml:space="preserve"> 15.janvāra noteikumos Nr.40 “Noteikumi par pievienotās vērtības nodokļa deklarācijām”, lai</w:t>
            </w:r>
            <w:r w:rsidR="00CA5378">
              <w:t>:</w:t>
            </w:r>
          </w:p>
          <w:p w14:paraId="570D1F2B" w14:textId="77777777" w:rsidR="00CA5378" w:rsidRDefault="00CA5378" w:rsidP="00354040">
            <w:pPr>
              <w:ind w:left="83" w:right="109"/>
              <w:jc w:val="both"/>
            </w:pPr>
            <w:r>
              <w:t>-</w:t>
            </w:r>
            <w:r w:rsidR="00706415" w:rsidRPr="000C4C70">
              <w:t xml:space="preserve"> </w:t>
            </w:r>
            <w:r w:rsidR="00687FA2">
              <w:t>precizētu</w:t>
            </w:r>
            <w:r w:rsidR="0007784B">
              <w:t xml:space="preserve"> regulējumu par PVN deklarāciju iesniegšanas veidu</w:t>
            </w:r>
            <w:r w:rsidR="006841E5">
              <w:t xml:space="preserve">, </w:t>
            </w:r>
            <w:r w:rsidR="00780E61">
              <w:t>t.i.</w:t>
            </w:r>
            <w:r w:rsidR="006841E5">
              <w:t xml:space="preserve">, </w:t>
            </w:r>
            <w:r w:rsidR="00687FA2">
              <w:t xml:space="preserve">izslēdzot citus iesniegšanas veidus, izņemot </w:t>
            </w:r>
            <w:r w:rsidR="00780E61">
              <w:t xml:space="preserve">PVN deklarācijas iesniegšanu </w:t>
            </w:r>
            <w:r w:rsidR="00687FA2">
              <w:t>EDS</w:t>
            </w:r>
            <w:r>
              <w:t>;</w:t>
            </w:r>
          </w:p>
          <w:p w14:paraId="5F09F770" w14:textId="56A25E2D" w:rsidR="002C432D" w:rsidRPr="000C4C70" w:rsidRDefault="00CA5378" w:rsidP="00AE47E0">
            <w:pPr>
              <w:ind w:left="83" w:right="109"/>
              <w:jc w:val="both"/>
            </w:pPr>
            <w:r>
              <w:t xml:space="preserve">- </w:t>
            </w:r>
            <w:r w:rsidR="00B655F9">
              <w:t>precizētu regulējumu attiecībā uz reģistrētu PVN maksātāju</w:t>
            </w:r>
            <w:r>
              <w:t xml:space="preserve"> pien</w:t>
            </w:r>
            <w:r w:rsidR="00B655F9">
              <w:t>ākumu</w:t>
            </w:r>
            <w:r>
              <w:t xml:space="preserve"> aizpildīt </w:t>
            </w:r>
            <w:r w:rsidRPr="00CA5378">
              <w:t>informāciju par pārmaksāto PVN summu par iekšzemē veiktiem darījumiem un pieprasījum</w:t>
            </w:r>
            <w:r w:rsidR="00B655F9">
              <w:t>a iesniegšanu</w:t>
            </w:r>
            <w:r w:rsidRPr="00CA5378">
              <w:t xml:space="preserve"> PVN pārmaksas atmaks</w:t>
            </w:r>
            <w:r w:rsidR="00B655F9">
              <w:t>ai</w:t>
            </w:r>
            <w:r>
              <w:t xml:space="preserve">, kas ir izveidojusies sakarā ar pamatlīdzekļu iegādi, jo plānots nodrošināt regulāru pārmaksātā PVN summas atmaksu visiem reģistrētiem PVN maksātājiem neatkarīgi no to lieluma, uzņēmējdarbības veida </w:t>
            </w:r>
            <w:r w:rsidR="00B655F9">
              <w:t>bez</w:t>
            </w:r>
            <w:r>
              <w:t xml:space="preserve"> </w:t>
            </w:r>
            <w:r w:rsidR="00B655F9">
              <w:t>papildu noteiktiem nosacījumiem</w:t>
            </w:r>
            <w:r w:rsidR="00687FA2">
              <w:t>.</w:t>
            </w:r>
            <w:r w:rsidR="00B655F9">
              <w:t xml:space="preserve"> </w:t>
            </w:r>
          </w:p>
        </w:tc>
      </w:tr>
      <w:tr w:rsidR="000C4C70" w:rsidRPr="000C4C70" w14:paraId="01889276" w14:textId="77777777" w:rsidTr="0024766E">
        <w:trPr>
          <w:cantSplit/>
        </w:trPr>
        <w:tc>
          <w:tcPr>
            <w:tcW w:w="226" w:type="pct"/>
            <w:hideMark/>
          </w:tcPr>
          <w:p w14:paraId="218B8E46" w14:textId="77777777" w:rsidR="00706415" w:rsidRPr="000C4C70" w:rsidRDefault="00706415" w:rsidP="00706415">
            <w:pPr>
              <w:jc w:val="center"/>
            </w:pPr>
            <w:r w:rsidRPr="000C4C70">
              <w:t>2.</w:t>
            </w:r>
          </w:p>
        </w:tc>
        <w:tc>
          <w:tcPr>
            <w:tcW w:w="1306" w:type="pct"/>
            <w:hideMark/>
          </w:tcPr>
          <w:p w14:paraId="01DDCF87" w14:textId="77777777" w:rsidR="00706415" w:rsidRPr="000C4C70" w:rsidRDefault="00706415" w:rsidP="00706415">
            <w:r w:rsidRPr="000C4C70">
              <w:t>Atbildīgā institūcija</w:t>
            </w:r>
          </w:p>
        </w:tc>
        <w:tc>
          <w:tcPr>
            <w:tcW w:w="3468" w:type="pct"/>
            <w:hideMark/>
          </w:tcPr>
          <w:p w14:paraId="356F1515" w14:textId="0541CB19" w:rsidR="00706415" w:rsidRPr="000C4C70" w:rsidRDefault="00706415" w:rsidP="00FF2022">
            <w:r w:rsidRPr="000C4C70">
              <w:t>Finanšu ministrija</w:t>
            </w:r>
            <w:r w:rsidR="009C083C" w:rsidRPr="000C4C70">
              <w:t xml:space="preserve"> (tai skaitā </w:t>
            </w:r>
            <w:r w:rsidR="00FF2022">
              <w:t>VID</w:t>
            </w:r>
            <w:r w:rsidR="009C083C" w:rsidRPr="000C4C70">
              <w:t>)</w:t>
            </w:r>
          </w:p>
        </w:tc>
      </w:tr>
      <w:tr w:rsidR="000C4C70" w:rsidRPr="000C4C70" w14:paraId="033400F2" w14:textId="77777777" w:rsidTr="0024766E">
        <w:trPr>
          <w:cantSplit/>
        </w:trPr>
        <w:tc>
          <w:tcPr>
            <w:tcW w:w="226" w:type="pct"/>
            <w:hideMark/>
          </w:tcPr>
          <w:p w14:paraId="6F677C73" w14:textId="77777777" w:rsidR="00706415" w:rsidRPr="000C4C70" w:rsidRDefault="00706415" w:rsidP="00706415">
            <w:pPr>
              <w:jc w:val="center"/>
            </w:pPr>
            <w:r w:rsidRPr="000C4C70">
              <w:t>3.</w:t>
            </w:r>
          </w:p>
        </w:tc>
        <w:tc>
          <w:tcPr>
            <w:tcW w:w="1306" w:type="pct"/>
            <w:hideMark/>
          </w:tcPr>
          <w:p w14:paraId="701E41D6" w14:textId="77777777" w:rsidR="00706415" w:rsidRPr="000C4C70" w:rsidRDefault="00706415" w:rsidP="00706415">
            <w:r w:rsidRPr="000C4C70">
              <w:t>Cita informācija</w:t>
            </w:r>
          </w:p>
        </w:tc>
        <w:tc>
          <w:tcPr>
            <w:tcW w:w="3468" w:type="pct"/>
            <w:hideMark/>
          </w:tcPr>
          <w:p w14:paraId="53D09013" w14:textId="77777777" w:rsidR="00706415" w:rsidRPr="000C4C70" w:rsidRDefault="00706415" w:rsidP="00706415">
            <w:r w:rsidRPr="000C4C70">
              <w:t>Nav</w:t>
            </w:r>
          </w:p>
        </w:tc>
      </w:tr>
    </w:tbl>
    <w:p w14:paraId="55075FB2" w14:textId="77777777" w:rsidR="005028DD" w:rsidRPr="000C4C70" w:rsidRDefault="005028DD"/>
    <w:tbl>
      <w:tblPr>
        <w:tblW w:w="5633"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24"/>
        <w:gridCol w:w="2452"/>
        <w:gridCol w:w="6377"/>
      </w:tblGrid>
      <w:tr w:rsidR="000C4C70" w:rsidRPr="000C4C70" w14:paraId="3901470D" w14:textId="77777777" w:rsidTr="0024766E">
        <w:trPr>
          <w:cantSplit/>
        </w:trPr>
        <w:tc>
          <w:tcPr>
            <w:tcW w:w="5000" w:type="pct"/>
            <w:gridSpan w:val="3"/>
            <w:vAlign w:val="center"/>
            <w:hideMark/>
          </w:tcPr>
          <w:p w14:paraId="2370C9FA" w14:textId="77777777" w:rsidR="00DA395D" w:rsidRPr="000C4C70" w:rsidRDefault="00DA395D" w:rsidP="00DA395D">
            <w:pPr>
              <w:jc w:val="center"/>
              <w:rPr>
                <w:b/>
                <w:bCs/>
              </w:rPr>
            </w:pPr>
            <w:r w:rsidRPr="000C4C70">
              <w:rPr>
                <w:b/>
                <w:bCs/>
              </w:rPr>
              <w:t>V. Tiesību akta projekta atbilstība Latvijas Republikas starptautiskajām saistībām</w:t>
            </w:r>
          </w:p>
        </w:tc>
      </w:tr>
      <w:tr w:rsidR="000C4C70" w:rsidRPr="000C4C70" w14:paraId="26A1AC68" w14:textId="77777777" w:rsidTr="0024766E">
        <w:trPr>
          <w:cantSplit/>
        </w:trPr>
        <w:tc>
          <w:tcPr>
            <w:tcW w:w="280" w:type="pct"/>
            <w:hideMark/>
          </w:tcPr>
          <w:p w14:paraId="010F7F4A" w14:textId="77777777" w:rsidR="00DA395D" w:rsidRPr="000C4C70" w:rsidRDefault="00DA395D" w:rsidP="00DA395D">
            <w:pPr>
              <w:jc w:val="center"/>
            </w:pPr>
            <w:r w:rsidRPr="000C4C70">
              <w:t>1.</w:t>
            </w:r>
          </w:p>
        </w:tc>
        <w:tc>
          <w:tcPr>
            <w:tcW w:w="1311" w:type="pct"/>
            <w:hideMark/>
          </w:tcPr>
          <w:p w14:paraId="4A92EAE3" w14:textId="77777777" w:rsidR="00DA395D" w:rsidRPr="000C4C70" w:rsidRDefault="00DA395D" w:rsidP="00DA395D">
            <w:r w:rsidRPr="000C4C70">
              <w:t>Saistības pret Eiropas Savienību</w:t>
            </w:r>
          </w:p>
        </w:tc>
        <w:tc>
          <w:tcPr>
            <w:tcW w:w="3410" w:type="pct"/>
            <w:hideMark/>
          </w:tcPr>
          <w:p w14:paraId="1C3133EC" w14:textId="5550AC2B" w:rsidR="00DA395D" w:rsidRPr="00687FA2" w:rsidRDefault="00BB1F11" w:rsidP="00B0787F">
            <w:pPr>
              <w:ind w:left="120"/>
              <w:jc w:val="both"/>
            </w:pPr>
            <w:r w:rsidRPr="00903596">
              <w:t>Ar likumprojektu tiek</w:t>
            </w:r>
            <w:r>
              <w:t xml:space="preserve"> pilnveidots </w:t>
            </w:r>
            <w:r w:rsidR="00B0787F">
              <w:t xml:space="preserve">jau </w:t>
            </w:r>
            <w:r>
              <w:t xml:space="preserve">iepriekš </w:t>
            </w:r>
            <w:r w:rsidR="00B0787F">
              <w:t>pārņemtais</w:t>
            </w:r>
            <w:r w:rsidR="006A7A13">
              <w:t xml:space="preserve"> </w:t>
            </w:r>
            <w:r w:rsidR="00FF2022">
              <w:t>D</w:t>
            </w:r>
            <w:r>
              <w:t xml:space="preserve">irektīvas 2006/112/EK </w:t>
            </w:r>
            <w:proofErr w:type="gramStart"/>
            <w:r>
              <w:t>183.panta</w:t>
            </w:r>
            <w:proofErr w:type="gramEnd"/>
            <w:r>
              <w:t xml:space="preserve"> regulējums.</w:t>
            </w:r>
          </w:p>
        </w:tc>
      </w:tr>
      <w:tr w:rsidR="000C4C70" w:rsidRPr="000C4C70" w14:paraId="5A9206BA" w14:textId="77777777" w:rsidTr="0024766E">
        <w:trPr>
          <w:cantSplit/>
          <w:trHeight w:val="522"/>
        </w:trPr>
        <w:tc>
          <w:tcPr>
            <w:tcW w:w="280" w:type="pct"/>
            <w:hideMark/>
          </w:tcPr>
          <w:p w14:paraId="235FCE70" w14:textId="77777777" w:rsidR="00DA395D" w:rsidRPr="000C4C70" w:rsidRDefault="00DA395D" w:rsidP="00DA395D">
            <w:pPr>
              <w:jc w:val="center"/>
            </w:pPr>
            <w:r w:rsidRPr="000C4C70">
              <w:t>2.</w:t>
            </w:r>
          </w:p>
        </w:tc>
        <w:tc>
          <w:tcPr>
            <w:tcW w:w="1311" w:type="pct"/>
            <w:hideMark/>
          </w:tcPr>
          <w:p w14:paraId="2D7F66CF" w14:textId="77777777" w:rsidR="00DA395D" w:rsidRPr="000C4C70" w:rsidRDefault="00DA395D" w:rsidP="00DA395D">
            <w:proofErr w:type="gramStart"/>
            <w:r w:rsidRPr="000C4C70">
              <w:t>Citas starptautiskās saistības</w:t>
            </w:r>
            <w:proofErr w:type="gramEnd"/>
          </w:p>
        </w:tc>
        <w:tc>
          <w:tcPr>
            <w:tcW w:w="3410" w:type="pct"/>
            <w:hideMark/>
          </w:tcPr>
          <w:p w14:paraId="0B97D34E" w14:textId="7AE22E3A" w:rsidR="00DA395D" w:rsidRPr="000C4C70" w:rsidRDefault="006047CD" w:rsidP="00DA395D">
            <w:pPr>
              <w:jc w:val="both"/>
            </w:pPr>
            <w:r w:rsidRPr="000C4C70">
              <w:t>Nav</w:t>
            </w:r>
          </w:p>
        </w:tc>
      </w:tr>
      <w:tr w:rsidR="000C4C70" w:rsidRPr="000C4C70" w14:paraId="7587C407" w14:textId="77777777" w:rsidTr="0024766E">
        <w:trPr>
          <w:cantSplit/>
        </w:trPr>
        <w:tc>
          <w:tcPr>
            <w:tcW w:w="280" w:type="pct"/>
            <w:hideMark/>
          </w:tcPr>
          <w:p w14:paraId="2F18F649" w14:textId="77777777" w:rsidR="00DA395D" w:rsidRPr="000C4C70" w:rsidRDefault="00DA395D" w:rsidP="00DA395D">
            <w:pPr>
              <w:jc w:val="center"/>
            </w:pPr>
            <w:r w:rsidRPr="000C4C70">
              <w:t>3.</w:t>
            </w:r>
          </w:p>
        </w:tc>
        <w:tc>
          <w:tcPr>
            <w:tcW w:w="1311" w:type="pct"/>
            <w:hideMark/>
          </w:tcPr>
          <w:p w14:paraId="6BAD0F1B" w14:textId="77777777" w:rsidR="00DA395D" w:rsidRPr="000C4C70" w:rsidRDefault="00DA395D" w:rsidP="00DA395D">
            <w:r w:rsidRPr="000C4C70">
              <w:t>Cita informācija</w:t>
            </w:r>
          </w:p>
        </w:tc>
        <w:tc>
          <w:tcPr>
            <w:tcW w:w="3410" w:type="pct"/>
            <w:hideMark/>
          </w:tcPr>
          <w:p w14:paraId="69296EAD" w14:textId="47FD71E8" w:rsidR="00DA395D" w:rsidRPr="000C4C70" w:rsidRDefault="00DA395D" w:rsidP="00DA395D">
            <w:r w:rsidRPr="000C4C70">
              <w:t>Nav</w:t>
            </w:r>
          </w:p>
        </w:tc>
      </w:tr>
    </w:tbl>
    <w:p w14:paraId="27A4CA2A" w14:textId="2F912EF5" w:rsidR="00D71392" w:rsidRPr="000C4C70" w:rsidRDefault="00D71392" w:rsidP="000B35BE">
      <w:pPr>
        <w:pStyle w:val="Title"/>
        <w:spacing w:before="130" w:line="260" w:lineRule="exact"/>
        <w:jc w:val="both"/>
        <w:rPr>
          <w:sz w:val="24"/>
          <w:szCs w:val="24"/>
        </w:rPr>
      </w:pPr>
    </w:p>
    <w:tbl>
      <w:tblPr>
        <w:tblW w:w="56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2408"/>
        <w:gridCol w:w="1760"/>
        <w:gridCol w:w="439"/>
        <w:gridCol w:w="71"/>
        <w:gridCol w:w="2233"/>
        <w:gridCol w:w="37"/>
        <w:gridCol w:w="2403"/>
      </w:tblGrid>
      <w:tr w:rsidR="000C4C70" w:rsidRPr="000C4C70" w14:paraId="35841EFC" w14:textId="77777777" w:rsidTr="0024766E">
        <w:trPr>
          <w:cantSplit/>
        </w:trPr>
        <w:tc>
          <w:tcPr>
            <w:tcW w:w="5000" w:type="pct"/>
            <w:gridSpan w:val="7"/>
            <w:vAlign w:val="center"/>
            <w:hideMark/>
          </w:tcPr>
          <w:p w14:paraId="41FA2C59" w14:textId="77777777" w:rsidR="00BD5588" w:rsidRPr="000C4C70" w:rsidRDefault="00BD5588" w:rsidP="00122EEB">
            <w:pPr>
              <w:jc w:val="center"/>
              <w:rPr>
                <w:b/>
                <w:bCs/>
              </w:rPr>
            </w:pPr>
            <w:r w:rsidRPr="000C4C70">
              <w:rPr>
                <w:b/>
                <w:bCs/>
              </w:rPr>
              <w:t>1. tabula</w:t>
            </w:r>
            <w:r w:rsidRPr="000C4C70">
              <w:rPr>
                <w:b/>
                <w:bCs/>
              </w:rPr>
              <w:br/>
              <w:t>Tiesību akta projekta atbilstība ES tiesību aktiem</w:t>
            </w:r>
          </w:p>
        </w:tc>
      </w:tr>
      <w:tr w:rsidR="000C4C70" w:rsidRPr="000C4C70" w14:paraId="5D47ACE0" w14:textId="77777777" w:rsidTr="0024766E">
        <w:trPr>
          <w:cantSplit/>
        </w:trPr>
        <w:tc>
          <w:tcPr>
            <w:tcW w:w="1287" w:type="pct"/>
            <w:tcBorders>
              <w:top w:val="outset" w:sz="6" w:space="0" w:color="auto"/>
              <w:left w:val="outset" w:sz="6" w:space="0" w:color="auto"/>
              <w:bottom w:val="outset" w:sz="6" w:space="0" w:color="auto"/>
              <w:right w:val="outset" w:sz="6" w:space="0" w:color="auto"/>
            </w:tcBorders>
          </w:tcPr>
          <w:p w14:paraId="497D4EDB" w14:textId="75397292" w:rsidR="00734125" w:rsidRPr="000C4C70" w:rsidRDefault="00734125" w:rsidP="00734125">
            <w:r w:rsidRPr="000C4C70">
              <w:t>A</w:t>
            </w:r>
          </w:p>
        </w:tc>
        <w:tc>
          <w:tcPr>
            <w:tcW w:w="1214" w:type="pct"/>
            <w:gridSpan w:val="3"/>
            <w:tcBorders>
              <w:top w:val="outset" w:sz="6" w:space="0" w:color="auto"/>
              <w:left w:val="outset" w:sz="6" w:space="0" w:color="auto"/>
              <w:bottom w:val="outset" w:sz="6" w:space="0" w:color="auto"/>
              <w:right w:val="outset" w:sz="6" w:space="0" w:color="auto"/>
            </w:tcBorders>
          </w:tcPr>
          <w:p w14:paraId="6746F375" w14:textId="37ED3630" w:rsidR="00734125" w:rsidRPr="000C4C70" w:rsidRDefault="00734125" w:rsidP="00734125">
            <w:pPr>
              <w:jc w:val="center"/>
            </w:pPr>
            <w:r w:rsidRPr="000C4C70">
              <w:t>B</w:t>
            </w:r>
          </w:p>
        </w:tc>
        <w:tc>
          <w:tcPr>
            <w:tcW w:w="1214" w:type="pct"/>
            <w:gridSpan w:val="2"/>
            <w:tcBorders>
              <w:top w:val="outset" w:sz="6" w:space="0" w:color="auto"/>
              <w:left w:val="outset" w:sz="6" w:space="0" w:color="auto"/>
              <w:bottom w:val="outset" w:sz="6" w:space="0" w:color="auto"/>
              <w:right w:val="outset" w:sz="6" w:space="0" w:color="auto"/>
            </w:tcBorders>
          </w:tcPr>
          <w:p w14:paraId="27F6CFC8" w14:textId="22449FB0" w:rsidR="00734125" w:rsidRPr="000C4C70" w:rsidRDefault="00734125" w:rsidP="00734125">
            <w:pPr>
              <w:jc w:val="center"/>
            </w:pPr>
            <w:r w:rsidRPr="000C4C70">
              <w:t>C</w:t>
            </w:r>
          </w:p>
        </w:tc>
        <w:tc>
          <w:tcPr>
            <w:tcW w:w="1285" w:type="pct"/>
            <w:tcBorders>
              <w:top w:val="outset" w:sz="6" w:space="0" w:color="auto"/>
              <w:left w:val="outset" w:sz="6" w:space="0" w:color="auto"/>
              <w:bottom w:val="outset" w:sz="6" w:space="0" w:color="auto"/>
              <w:right w:val="outset" w:sz="6" w:space="0" w:color="auto"/>
            </w:tcBorders>
          </w:tcPr>
          <w:p w14:paraId="428E044C" w14:textId="3DAEEB05" w:rsidR="00734125" w:rsidRPr="000C4C70" w:rsidRDefault="00734125" w:rsidP="00734125">
            <w:pPr>
              <w:jc w:val="center"/>
            </w:pPr>
            <w:r w:rsidRPr="000C4C70">
              <w:t>D</w:t>
            </w:r>
          </w:p>
        </w:tc>
      </w:tr>
      <w:tr w:rsidR="000C4C70" w:rsidRPr="000C4C70" w14:paraId="27B23867" w14:textId="77777777" w:rsidTr="0024766E">
        <w:trPr>
          <w:cantSplit/>
        </w:trPr>
        <w:tc>
          <w:tcPr>
            <w:tcW w:w="5000" w:type="pct"/>
            <w:gridSpan w:val="7"/>
            <w:tcBorders>
              <w:top w:val="outset" w:sz="6" w:space="0" w:color="auto"/>
              <w:left w:val="outset" w:sz="6" w:space="0" w:color="auto"/>
              <w:bottom w:val="outset" w:sz="6" w:space="0" w:color="auto"/>
              <w:right w:val="outset" w:sz="6" w:space="0" w:color="auto"/>
            </w:tcBorders>
          </w:tcPr>
          <w:p w14:paraId="7420C1A8" w14:textId="16581552" w:rsidR="00B10E1E" w:rsidRPr="000C4C70" w:rsidRDefault="00B10E1E" w:rsidP="00B10E1E">
            <w:pPr>
              <w:jc w:val="center"/>
            </w:pPr>
            <w:r w:rsidRPr="000C4C70">
              <w:lastRenderedPageBreak/>
              <w:t>Direktīva 2006/112/EK</w:t>
            </w:r>
          </w:p>
        </w:tc>
      </w:tr>
      <w:tr w:rsidR="000C4C70" w:rsidRPr="000C4C70" w14:paraId="24D4A641" w14:textId="77777777" w:rsidTr="0024766E">
        <w:trPr>
          <w:cantSplit/>
          <w:trHeight w:val="135"/>
        </w:trPr>
        <w:tc>
          <w:tcPr>
            <w:tcW w:w="1287" w:type="pct"/>
            <w:tcBorders>
              <w:top w:val="outset" w:sz="6" w:space="0" w:color="auto"/>
              <w:left w:val="outset" w:sz="6" w:space="0" w:color="auto"/>
              <w:bottom w:val="outset" w:sz="6" w:space="0" w:color="auto"/>
              <w:right w:val="outset" w:sz="6" w:space="0" w:color="auto"/>
            </w:tcBorders>
          </w:tcPr>
          <w:p w14:paraId="2AEF8FE1" w14:textId="0F5DA949" w:rsidR="00EC4424" w:rsidRPr="000C4C70" w:rsidRDefault="00EC4424" w:rsidP="00687FA2">
            <w:pPr>
              <w:jc w:val="center"/>
            </w:pPr>
            <w:r w:rsidRPr="000C4C70">
              <w:t xml:space="preserve">Direktīvas 2006/112/EK </w:t>
            </w:r>
            <w:proofErr w:type="gramStart"/>
            <w:r w:rsidR="00687FA2">
              <w:t>183.pants</w:t>
            </w:r>
            <w:proofErr w:type="gramEnd"/>
            <w:r w:rsidRPr="000C4C70">
              <w:t xml:space="preserve"> </w:t>
            </w:r>
          </w:p>
        </w:tc>
        <w:tc>
          <w:tcPr>
            <w:tcW w:w="1176" w:type="pct"/>
            <w:gridSpan w:val="2"/>
            <w:tcBorders>
              <w:top w:val="outset" w:sz="6" w:space="0" w:color="auto"/>
              <w:left w:val="outset" w:sz="6" w:space="0" w:color="auto"/>
              <w:bottom w:val="outset" w:sz="6" w:space="0" w:color="auto"/>
              <w:right w:val="outset" w:sz="6" w:space="0" w:color="auto"/>
            </w:tcBorders>
          </w:tcPr>
          <w:p w14:paraId="436F6868" w14:textId="417B77F8" w:rsidR="00EC4424" w:rsidRPr="0005278D" w:rsidRDefault="00EC4424" w:rsidP="000A0490">
            <w:pPr>
              <w:jc w:val="center"/>
            </w:pPr>
            <w:r w:rsidRPr="000C4C70">
              <w:t xml:space="preserve">Likumprojekta </w:t>
            </w:r>
            <w:proofErr w:type="gramStart"/>
            <w:r w:rsidR="00D56C5E" w:rsidRPr="00D56C5E">
              <w:t>1</w:t>
            </w:r>
            <w:r w:rsidR="000A0490">
              <w:t>2</w:t>
            </w:r>
            <w:r w:rsidR="00D56C5E" w:rsidRPr="00D56C5E">
              <w:t>.pants</w:t>
            </w:r>
            <w:proofErr w:type="gramEnd"/>
            <w:r w:rsidR="00D56C5E" w:rsidRPr="00D56C5E">
              <w:t xml:space="preserve"> </w:t>
            </w:r>
            <w:r w:rsidRPr="000C4C70">
              <w:t xml:space="preserve">(Pievienotās vērtības nodokļa likuma </w:t>
            </w:r>
            <w:r w:rsidR="0005278D">
              <w:t>109.</w:t>
            </w:r>
            <w:r w:rsidR="0005278D">
              <w:rPr>
                <w:vertAlign w:val="superscript"/>
              </w:rPr>
              <w:t xml:space="preserve"> </w:t>
            </w:r>
            <w:r w:rsidR="0005278D">
              <w:t>pants)</w:t>
            </w:r>
          </w:p>
        </w:tc>
        <w:tc>
          <w:tcPr>
            <w:tcW w:w="1232" w:type="pct"/>
            <w:gridSpan w:val="2"/>
            <w:tcBorders>
              <w:top w:val="outset" w:sz="6" w:space="0" w:color="auto"/>
              <w:left w:val="outset" w:sz="6" w:space="0" w:color="auto"/>
              <w:bottom w:val="outset" w:sz="6" w:space="0" w:color="auto"/>
              <w:right w:val="outset" w:sz="6" w:space="0" w:color="auto"/>
            </w:tcBorders>
          </w:tcPr>
          <w:p w14:paraId="5B800573" w14:textId="77777777" w:rsidR="00EC4424" w:rsidRPr="000C4C70" w:rsidRDefault="00EC4424" w:rsidP="00EC4424">
            <w:pPr>
              <w:jc w:val="center"/>
            </w:pPr>
            <w:r w:rsidRPr="000C4C70">
              <w:t xml:space="preserve">Pārņemts pilnībā </w:t>
            </w:r>
          </w:p>
          <w:p w14:paraId="24052411" w14:textId="7CBD7202" w:rsidR="00EC4424" w:rsidRPr="000C4C70" w:rsidRDefault="00EC4424" w:rsidP="00EC4424">
            <w:pPr>
              <w:jc w:val="center"/>
            </w:pPr>
          </w:p>
        </w:tc>
        <w:tc>
          <w:tcPr>
            <w:tcW w:w="1305" w:type="pct"/>
            <w:gridSpan w:val="2"/>
            <w:tcBorders>
              <w:top w:val="outset" w:sz="6" w:space="0" w:color="auto"/>
              <w:left w:val="outset" w:sz="6" w:space="0" w:color="auto"/>
              <w:bottom w:val="outset" w:sz="6" w:space="0" w:color="auto"/>
              <w:right w:val="outset" w:sz="6" w:space="0" w:color="auto"/>
            </w:tcBorders>
          </w:tcPr>
          <w:p w14:paraId="7445622F" w14:textId="595DE74A" w:rsidR="00EC4424" w:rsidRPr="000C4C70" w:rsidRDefault="00EC4424" w:rsidP="00EC4424">
            <w:pPr>
              <w:jc w:val="center"/>
            </w:pPr>
            <w:r w:rsidRPr="000C4C70">
              <w:t>Likumprojekts neparedz stingrākas prasības</w:t>
            </w:r>
          </w:p>
        </w:tc>
      </w:tr>
      <w:tr w:rsidR="000C4C70" w:rsidRPr="000C4C70" w14:paraId="1C8B9287" w14:textId="77777777" w:rsidTr="0024766E">
        <w:trPr>
          <w:cantSplit/>
        </w:trPr>
        <w:tc>
          <w:tcPr>
            <w:tcW w:w="1287" w:type="pct"/>
            <w:hideMark/>
          </w:tcPr>
          <w:p w14:paraId="50AE6D3B" w14:textId="77777777" w:rsidR="00BA2FB6" w:rsidRPr="000C4C70" w:rsidRDefault="00BA2FB6" w:rsidP="00BA2FB6">
            <w:r w:rsidRPr="000C4C70">
              <w:t>Kā ir izmantota ES tiesību aktā paredzētā rīcības brīvība dalībvalstij pārņemt vai ieviest noteiktas ES tiesību akta normas? Kādēļ?</w:t>
            </w:r>
          </w:p>
        </w:tc>
        <w:tc>
          <w:tcPr>
            <w:tcW w:w="3713" w:type="pct"/>
            <w:gridSpan w:val="6"/>
            <w:hideMark/>
          </w:tcPr>
          <w:p w14:paraId="4EA14973" w14:textId="77777777" w:rsidR="00BA2FB6" w:rsidRPr="000C4C70" w:rsidRDefault="00BA2FB6" w:rsidP="00BA2FB6">
            <w:r w:rsidRPr="000C4C70">
              <w:t>Projekts šo jomu neskar.</w:t>
            </w:r>
          </w:p>
        </w:tc>
      </w:tr>
      <w:tr w:rsidR="000C4C70" w:rsidRPr="000C4C70" w14:paraId="69BADAC9" w14:textId="77777777" w:rsidTr="0024766E">
        <w:trPr>
          <w:cantSplit/>
        </w:trPr>
        <w:tc>
          <w:tcPr>
            <w:tcW w:w="1287" w:type="pct"/>
            <w:hideMark/>
          </w:tcPr>
          <w:p w14:paraId="3180FF0A" w14:textId="77777777" w:rsidR="00BA2FB6" w:rsidRPr="000C4C70" w:rsidRDefault="00BA2FB6" w:rsidP="00BA2FB6">
            <w:r w:rsidRPr="000C4C70">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13" w:type="pct"/>
            <w:gridSpan w:val="6"/>
            <w:hideMark/>
          </w:tcPr>
          <w:p w14:paraId="3CC4ECBD" w14:textId="77777777" w:rsidR="00BA2FB6" w:rsidRPr="000C4C70" w:rsidRDefault="00BA2FB6" w:rsidP="00BA2FB6">
            <w:pPr>
              <w:jc w:val="both"/>
            </w:pPr>
            <w:r w:rsidRPr="000C4C70">
              <w:t>Projekts šo jomu neskar.</w:t>
            </w:r>
          </w:p>
        </w:tc>
      </w:tr>
      <w:tr w:rsidR="000C4C70" w:rsidRPr="000C4C70" w14:paraId="7B2D1E88" w14:textId="77777777" w:rsidTr="0024766E">
        <w:trPr>
          <w:cantSplit/>
        </w:trPr>
        <w:tc>
          <w:tcPr>
            <w:tcW w:w="1287" w:type="pct"/>
            <w:hideMark/>
          </w:tcPr>
          <w:p w14:paraId="53F8D8ED" w14:textId="77777777" w:rsidR="00BA2FB6" w:rsidRPr="000C4C70" w:rsidRDefault="00BA2FB6" w:rsidP="00BA2FB6">
            <w:r w:rsidRPr="000C4C70">
              <w:t>Cita informācija</w:t>
            </w:r>
          </w:p>
        </w:tc>
        <w:tc>
          <w:tcPr>
            <w:tcW w:w="3713" w:type="pct"/>
            <w:gridSpan w:val="6"/>
            <w:hideMark/>
          </w:tcPr>
          <w:p w14:paraId="0CA6EF0B" w14:textId="76B981FE" w:rsidR="00BA2FB6" w:rsidRPr="000C4C70" w:rsidRDefault="00BA2FB6" w:rsidP="00BA2FB6">
            <w:pPr>
              <w:tabs>
                <w:tab w:val="left" w:pos="6628"/>
              </w:tabs>
              <w:ind w:left="-34" w:firstLine="34"/>
              <w:jc w:val="both"/>
            </w:pPr>
            <w:r w:rsidRPr="000C4C70">
              <w:t>Direktīvas 2006/112/EK regulējums ir jau pārņemts likumā, bet ar šo likumprojektu tiek veikti atsevišķi precizējumi.</w:t>
            </w:r>
          </w:p>
        </w:tc>
      </w:tr>
      <w:tr w:rsidR="000C4C70" w:rsidRPr="000C4C70" w14:paraId="523FDD37" w14:textId="77777777" w:rsidTr="0024766E">
        <w:trPr>
          <w:cantSplit/>
        </w:trPr>
        <w:tc>
          <w:tcPr>
            <w:tcW w:w="5000" w:type="pct"/>
            <w:gridSpan w:val="7"/>
            <w:vAlign w:val="center"/>
            <w:hideMark/>
          </w:tcPr>
          <w:p w14:paraId="56457EE8" w14:textId="77777777" w:rsidR="00BA2FB6" w:rsidRPr="000C4C70" w:rsidRDefault="00BA2FB6" w:rsidP="00BA2FB6">
            <w:pPr>
              <w:jc w:val="center"/>
              <w:rPr>
                <w:b/>
                <w:bCs/>
              </w:rPr>
            </w:pPr>
            <w:r w:rsidRPr="000C4C70">
              <w:rPr>
                <w:b/>
                <w:bCs/>
              </w:rPr>
              <w:t>2. tabula</w:t>
            </w:r>
            <w:r w:rsidRPr="000C4C70">
              <w:rPr>
                <w:b/>
                <w:bCs/>
              </w:rPr>
              <w:br/>
              <w:t>Ar tiesību akta projektu izpildītās vai uzņemtās saistības, kas izriet no starptautiskajiem tiesību aktiem vai starptautiskas institūcijas vai organizācijas dokumentiem.</w:t>
            </w:r>
            <w:r w:rsidRPr="000C4C70">
              <w:rPr>
                <w:b/>
                <w:bCs/>
              </w:rPr>
              <w:br/>
              <w:t>Pasākumi šo saistību izpildei</w:t>
            </w:r>
          </w:p>
          <w:p w14:paraId="0CF947B0" w14:textId="6DCFC1AA" w:rsidR="00BA2FB6" w:rsidRPr="000C4C70" w:rsidRDefault="00BA2FB6" w:rsidP="00BA2FB6">
            <w:pPr>
              <w:jc w:val="center"/>
              <w:rPr>
                <w:b/>
                <w:bCs/>
              </w:rPr>
            </w:pPr>
          </w:p>
        </w:tc>
      </w:tr>
      <w:tr w:rsidR="000C4C70" w:rsidRPr="000C4C70" w14:paraId="6BC86080" w14:textId="77777777" w:rsidTr="0024766E">
        <w:trPr>
          <w:cantSplit/>
        </w:trPr>
        <w:tc>
          <w:tcPr>
            <w:tcW w:w="1287" w:type="pct"/>
            <w:hideMark/>
          </w:tcPr>
          <w:p w14:paraId="77165C3F" w14:textId="5A7685D0" w:rsidR="00BA2FB6" w:rsidRPr="000C4C70" w:rsidRDefault="00BA2FB6" w:rsidP="00BA2FB6">
            <w:r w:rsidRPr="000C4C70">
              <w:t>Attiecīgā starptautiskā tiesību akta vai starptautiskas institūcijas vai organizācijas dokumenta (turpmāk – starptautiskais dokuments) datums, numurs un nosaukums</w:t>
            </w:r>
          </w:p>
        </w:tc>
        <w:tc>
          <w:tcPr>
            <w:tcW w:w="3713" w:type="pct"/>
            <w:gridSpan w:val="6"/>
            <w:hideMark/>
          </w:tcPr>
          <w:p w14:paraId="2FDDD1DA" w14:textId="0E697C5D" w:rsidR="00BA2FB6" w:rsidRPr="000C4C70" w:rsidRDefault="00BA2FB6" w:rsidP="00BA2FB6">
            <w:r w:rsidRPr="000C4C70">
              <w:t>Projekts šo jomu neskar.</w:t>
            </w:r>
          </w:p>
        </w:tc>
      </w:tr>
      <w:tr w:rsidR="000C4C70" w:rsidRPr="000C4C70" w14:paraId="5376362A" w14:textId="77777777" w:rsidTr="0024766E">
        <w:trPr>
          <w:cantSplit/>
        </w:trPr>
        <w:tc>
          <w:tcPr>
            <w:tcW w:w="1287" w:type="pct"/>
            <w:vAlign w:val="center"/>
            <w:hideMark/>
          </w:tcPr>
          <w:p w14:paraId="012AF335" w14:textId="77777777" w:rsidR="00BA2FB6" w:rsidRPr="000C4C70" w:rsidRDefault="00BA2FB6" w:rsidP="00BA2FB6">
            <w:pPr>
              <w:jc w:val="center"/>
            </w:pPr>
            <w:r w:rsidRPr="000C4C70">
              <w:t>A</w:t>
            </w:r>
          </w:p>
        </w:tc>
        <w:tc>
          <w:tcPr>
            <w:tcW w:w="941" w:type="pct"/>
            <w:vAlign w:val="center"/>
            <w:hideMark/>
          </w:tcPr>
          <w:p w14:paraId="67C0F086" w14:textId="77777777" w:rsidR="00BA2FB6" w:rsidRPr="000C4C70" w:rsidRDefault="00BA2FB6" w:rsidP="00BA2FB6">
            <w:pPr>
              <w:jc w:val="center"/>
            </w:pPr>
            <w:r w:rsidRPr="000C4C70">
              <w:t>B</w:t>
            </w:r>
          </w:p>
        </w:tc>
        <w:tc>
          <w:tcPr>
            <w:tcW w:w="2772" w:type="pct"/>
            <w:gridSpan w:val="5"/>
            <w:vAlign w:val="center"/>
            <w:hideMark/>
          </w:tcPr>
          <w:p w14:paraId="6FD82E54" w14:textId="77777777" w:rsidR="00BA2FB6" w:rsidRPr="000C4C70" w:rsidRDefault="00BA2FB6" w:rsidP="00BA2FB6">
            <w:pPr>
              <w:jc w:val="center"/>
            </w:pPr>
            <w:r w:rsidRPr="000C4C70">
              <w:t>C</w:t>
            </w:r>
          </w:p>
        </w:tc>
      </w:tr>
      <w:tr w:rsidR="000C4C70" w:rsidRPr="000C4C70" w14:paraId="4B481EFF" w14:textId="77777777" w:rsidTr="0024766E">
        <w:trPr>
          <w:cantSplit/>
        </w:trPr>
        <w:tc>
          <w:tcPr>
            <w:tcW w:w="1287" w:type="pct"/>
            <w:hideMark/>
          </w:tcPr>
          <w:p w14:paraId="588C594A" w14:textId="77777777" w:rsidR="00BA2FB6" w:rsidRPr="000C4C70" w:rsidRDefault="00BA2FB6" w:rsidP="00BA2FB6">
            <w:r w:rsidRPr="000C4C70">
              <w:lastRenderedPageBreak/>
              <w:t>Starptautiskās saistības (pēc būtības), kas izriet no norādītā starptautiskā dokumenta.</w:t>
            </w:r>
            <w:r w:rsidRPr="000C4C70">
              <w:br/>
              <w:t>Konkrēti veicamie pasākumi vai uzdevumi, kas nepieciešami šo starptautisko saistību izpildei</w:t>
            </w:r>
          </w:p>
          <w:p w14:paraId="7908C797" w14:textId="36222FB1" w:rsidR="00BA2FB6" w:rsidRPr="000C4C70" w:rsidRDefault="00BA2FB6" w:rsidP="00BA2FB6"/>
        </w:tc>
        <w:tc>
          <w:tcPr>
            <w:tcW w:w="941" w:type="pct"/>
            <w:hideMark/>
          </w:tcPr>
          <w:p w14:paraId="60DDDFFE" w14:textId="77777777" w:rsidR="00BA2FB6" w:rsidRPr="000C4C70" w:rsidRDefault="00BA2FB6" w:rsidP="00BA2FB6">
            <w:r w:rsidRPr="000C4C70">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772" w:type="pct"/>
            <w:gridSpan w:val="5"/>
            <w:hideMark/>
          </w:tcPr>
          <w:p w14:paraId="3AE70218" w14:textId="77777777" w:rsidR="00BA2FB6" w:rsidRPr="000C4C70" w:rsidRDefault="00BA2FB6" w:rsidP="00BA2FB6">
            <w:r w:rsidRPr="000C4C70">
              <w:t>Informācija par to, vai starptautiskās saistības, kas minētas šīs tabulas A ailē, tiek izpildītas pilnībā vai daļēji.</w:t>
            </w:r>
            <w:r w:rsidRPr="000C4C70">
              <w:br/>
              <w:t>Ja attiecīgās starptautiskās saistības tiek izpildītas daļēji, sniedz skaidrojumu, kā arī precīzi norāda, kad un kādā veidā starptautiskās saistības tiks izpildītas pilnībā.</w:t>
            </w:r>
            <w:r w:rsidRPr="000C4C70">
              <w:br/>
              <w:t>Norāda institūciju, kas ir atbildīga par šo saistību izpildi pilnībā</w:t>
            </w:r>
          </w:p>
        </w:tc>
      </w:tr>
      <w:tr w:rsidR="000C4C70" w:rsidRPr="000C4C70" w14:paraId="6906B30D" w14:textId="77777777" w:rsidTr="0024766E">
        <w:trPr>
          <w:cantSplit/>
        </w:trPr>
        <w:tc>
          <w:tcPr>
            <w:tcW w:w="1287" w:type="pct"/>
            <w:hideMark/>
          </w:tcPr>
          <w:p w14:paraId="60B06225" w14:textId="77777777" w:rsidR="00BA2FB6" w:rsidRPr="000C4C70" w:rsidRDefault="00BA2FB6" w:rsidP="00BA2FB6">
            <w:r w:rsidRPr="000C4C70">
              <w:t>Vai starptautiskajā dokumentā paredzētās saistības nav pretrunā ar jau esošajām Latvijas Republikas starptautiskajām saistībām</w:t>
            </w:r>
          </w:p>
          <w:p w14:paraId="77CAEB53" w14:textId="0F984C36" w:rsidR="00BA2FB6" w:rsidRPr="000C4C70" w:rsidRDefault="00BA2FB6" w:rsidP="00BA2FB6"/>
        </w:tc>
        <w:tc>
          <w:tcPr>
            <w:tcW w:w="3713" w:type="pct"/>
            <w:gridSpan w:val="6"/>
            <w:hideMark/>
          </w:tcPr>
          <w:p w14:paraId="3EB2B641" w14:textId="21F90B7B" w:rsidR="00BA2FB6" w:rsidRPr="000C4C70" w:rsidRDefault="00BA2FB6" w:rsidP="00BA2FB6">
            <w:r w:rsidRPr="000C4C70">
              <w:t>Nav</w:t>
            </w:r>
          </w:p>
        </w:tc>
      </w:tr>
      <w:tr w:rsidR="00BA2FB6" w:rsidRPr="000C4C70" w14:paraId="36236061" w14:textId="77777777" w:rsidTr="0024766E">
        <w:trPr>
          <w:cantSplit/>
        </w:trPr>
        <w:tc>
          <w:tcPr>
            <w:tcW w:w="1287" w:type="pct"/>
            <w:hideMark/>
          </w:tcPr>
          <w:p w14:paraId="71B38B89" w14:textId="77777777" w:rsidR="00BA2FB6" w:rsidRPr="000C4C70" w:rsidRDefault="00BA2FB6" w:rsidP="00BA2FB6">
            <w:r w:rsidRPr="000C4C70">
              <w:t>Cita informācija</w:t>
            </w:r>
          </w:p>
          <w:p w14:paraId="410FF8F3" w14:textId="6D585B4D" w:rsidR="00BA2FB6" w:rsidRPr="000C4C70" w:rsidRDefault="00BA2FB6" w:rsidP="00BA2FB6"/>
        </w:tc>
        <w:tc>
          <w:tcPr>
            <w:tcW w:w="3713" w:type="pct"/>
            <w:gridSpan w:val="6"/>
            <w:hideMark/>
          </w:tcPr>
          <w:p w14:paraId="1CCE6C74" w14:textId="0333ACB8" w:rsidR="00BA2FB6" w:rsidRPr="000C4C70" w:rsidRDefault="00BA2FB6" w:rsidP="00BA2FB6">
            <w:pPr>
              <w:jc w:val="both"/>
            </w:pPr>
            <w:r w:rsidRPr="000C4C70">
              <w:t>Nav</w:t>
            </w:r>
          </w:p>
        </w:tc>
      </w:tr>
    </w:tbl>
    <w:p w14:paraId="49585193" w14:textId="34DD6710" w:rsidR="00706415" w:rsidRPr="000C4C70" w:rsidRDefault="00706415"/>
    <w:p w14:paraId="43FBEEF9" w14:textId="77777777" w:rsidR="00706415" w:rsidRPr="000C4C70" w:rsidRDefault="00706415" w:rsidP="00562A99">
      <w:pPr>
        <w:jc w:val="center"/>
        <w:rPr>
          <w:b/>
          <w:bCs/>
        </w:rPr>
        <w:sectPr w:rsidR="00706415" w:rsidRPr="000C4C70" w:rsidSect="004F211D">
          <w:type w:val="continuous"/>
          <w:pgSz w:w="11906" w:h="16838"/>
          <w:pgMar w:top="1077" w:right="1797" w:bottom="567" w:left="1797" w:header="709" w:footer="709" w:gutter="0"/>
          <w:cols w:space="708"/>
          <w:titlePg/>
          <w:docGrid w:linePitch="360"/>
        </w:sectPr>
      </w:pPr>
    </w:p>
    <w:tbl>
      <w:tblPr>
        <w:tblW w:w="56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423"/>
        <w:gridCol w:w="1984"/>
        <w:gridCol w:w="6944"/>
      </w:tblGrid>
      <w:tr w:rsidR="000C4C70" w:rsidRPr="000C4C70" w14:paraId="3394FBA2" w14:textId="77777777" w:rsidTr="0024766E">
        <w:trPr>
          <w:cantSplit/>
        </w:trPr>
        <w:tc>
          <w:tcPr>
            <w:tcW w:w="5000" w:type="pct"/>
            <w:gridSpan w:val="3"/>
            <w:vAlign w:val="center"/>
            <w:hideMark/>
          </w:tcPr>
          <w:p w14:paraId="41E2C464" w14:textId="67690BF0" w:rsidR="00562A99" w:rsidRPr="000C4C70" w:rsidRDefault="00562A99" w:rsidP="00562A99">
            <w:pPr>
              <w:jc w:val="center"/>
              <w:rPr>
                <w:b/>
                <w:bCs/>
              </w:rPr>
            </w:pPr>
            <w:r w:rsidRPr="000C4C70">
              <w:rPr>
                <w:b/>
                <w:bCs/>
              </w:rPr>
              <w:t>VI. Sabiedrības līdzdalība un komunikācijas aktivitātes</w:t>
            </w:r>
          </w:p>
        </w:tc>
      </w:tr>
      <w:tr w:rsidR="000C4C70" w:rsidRPr="000C4C70" w14:paraId="178DA8B0" w14:textId="77777777" w:rsidTr="0024766E">
        <w:trPr>
          <w:cantSplit/>
        </w:trPr>
        <w:tc>
          <w:tcPr>
            <w:tcW w:w="226" w:type="pct"/>
            <w:hideMark/>
          </w:tcPr>
          <w:p w14:paraId="75863E61" w14:textId="77777777" w:rsidR="00562A99" w:rsidRPr="000C4C70" w:rsidRDefault="00562A99" w:rsidP="00562A99">
            <w:pPr>
              <w:jc w:val="center"/>
            </w:pPr>
            <w:r w:rsidRPr="000C4C70">
              <w:t>1.</w:t>
            </w:r>
          </w:p>
        </w:tc>
        <w:tc>
          <w:tcPr>
            <w:tcW w:w="1061" w:type="pct"/>
            <w:hideMark/>
          </w:tcPr>
          <w:p w14:paraId="3A1408D9" w14:textId="77777777" w:rsidR="00562A99" w:rsidRPr="000C4C70" w:rsidRDefault="00562A99" w:rsidP="00562A99">
            <w:r w:rsidRPr="000C4C70">
              <w:t>Plānotās sabiedrības līdzdalības un komunikācijas aktivitātes saistībā ar projektu</w:t>
            </w:r>
          </w:p>
        </w:tc>
        <w:tc>
          <w:tcPr>
            <w:tcW w:w="3713" w:type="pct"/>
            <w:hideMark/>
          </w:tcPr>
          <w:p w14:paraId="7DCF9BF7" w14:textId="38B64AFF" w:rsidR="00562A99" w:rsidRPr="00CF2E05" w:rsidRDefault="00562A99" w:rsidP="00785367">
            <w:pPr>
              <w:ind w:left="108" w:right="109"/>
              <w:jc w:val="both"/>
            </w:pPr>
            <w:r w:rsidRPr="00CF2E05">
              <w:t>I</w:t>
            </w:r>
            <w:r w:rsidR="00CF2E05" w:rsidRPr="00CF2E05">
              <w:t xml:space="preserve">nformācija par likumprojektu </w:t>
            </w:r>
            <w:proofErr w:type="gramStart"/>
            <w:r w:rsidR="00CF2E05" w:rsidRPr="00CF2E05">
              <w:t>2020</w:t>
            </w:r>
            <w:r w:rsidRPr="00CF2E05">
              <w:t>.gada</w:t>
            </w:r>
            <w:proofErr w:type="gramEnd"/>
            <w:r w:rsidRPr="00CF2E05">
              <w:t xml:space="preserve"> </w:t>
            </w:r>
            <w:r w:rsidR="001B07FA" w:rsidRPr="00700FD8">
              <w:t>19</w:t>
            </w:r>
            <w:r w:rsidR="00403305" w:rsidRPr="00700FD8">
              <w:t>.</w:t>
            </w:r>
            <w:r w:rsidR="006C2113" w:rsidRPr="00700FD8">
              <w:t>jūnijā</w:t>
            </w:r>
            <w:r w:rsidRPr="00700FD8">
              <w:t xml:space="preserve"> </w:t>
            </w:r>
            <w:r w:rsidRPr="00CF2E05">
              <w:t>ir ievietota Finanšu ministrijas tīmekļvietnē sadaļā “Sabiedrības līdzdalība” – “Tiesību aktu projekti” – “Nodokļu politika”. Līdz ar to sabiedrības pārstāvji</w:t>
            </w:r>
            <w:r w:rsidR="00F923FF" w:rsidRPr="00CF2E05">
              <w:t>em</w:t>
            </w:r>
            <w:r w:rsidRPr="00CF2E05">
              <w:t xml:space="preserve"> </w:t>
            </w:r>
            <w:r w:rsidR="00F923FF" w:rsidRPr="00CF2E05">
              <w:t>ir iespēja</w:t>
            </w:r>
            <w:r w:rsidRPr="00CF2E05">
              <w:t xml:space="preserve"> līdzdarboties projekta izstrādē, rakstveidā sniedzot viedokļus par projektu</w:t>
            </w:r>
            <w:r w:rsidRPr="00CF2E05" w:rsidDel="00434DDA">
              <w:t xml:space="preserve"> </w:t>
            </w:r>
            <w:r w:rsidRPr="00CF2E05">
              <w:t>(</w:t>
            </w:r>
            <w:hyperlink r:id="rId16" w:anchor="project522" w:history="1">
              <w:r w:rsidRPr="00CF2E05">
                <w:rPr>
                  <w:rStyle w:val="Hyperlink"/>
                  <w:color w:val="auto"/>
                </w:rPr>
                <w:t>http://www.fm.gov.lv/lv/sabiedribas_lidzdaliba/tiesibu_aktu_projekti/nodoklu_politika#project522</w:t>
              </w:r>
            </w:hyperlink>
            <w:r w:rsidRPr="00CF2E05">
              <w:t xml:space="preserve">) un Ministru kabineta tīmekļvietnē </w:t>
            </w:r>
            <w:hyperlink r:id="rId17" w:history="1">
              <w:r w:rsidRPr="00CF2E05">
                <w:rPr>
                  <w:rStyle w:val="Hyperlink"/>
                  <w:color w:val="auto"/>
                </w:rPr>
                <w:t>https://www.mk.gov.lv/content/ministru-kabineta-diskusiju-dokumenti</w:t>
              </w:r>
            </w:hyperlink>
            <w:r w:rsidR="00A8433A">
              <w:rPr>
                <w:rStyle w:val="Hyperlink"/>
                <w:color w:val="auto"/>
              </w:rPr>
              <w:t>.</w:t>
            </w:r>
            <w:r w:rsidRPr="00CF2E05">
              <w:t xml:space="preserve"> </w:t>
            </w:r>
          </w:p>
          <w:p w14:paraId="76CFA8DA" w14:textId="62FC01EC" w:rsidR="00562A99" w:rsidRPr="000C4C70" w:rsidRDefault="001B07FA" w:rsidP="00AE2FEE">
            <w:pPr>
              <w:ind w:left="108" w:right="109"/>
              <w:jc w:val="both"/>
            </w:pPr>
            <w:r>
              <w:t xml:space="preserve">Pēc likumprojekta iesniegšanas </w:t>
            </w:r>
            <w:r w:rsidR="00AE2FEE">
              <w:t>izskatīšanai Ministru kabinetā</w:t>
            </w:r>
            <w:r>
              <w:t xml:space="preserve"> i</w:t>
            </w:r>
            <w:r w:rsidR="0098578D" w:rsidRPr="000C4C70">
              <w:t>nformācija p</w:t>
            </w:r>
            <w:r w:rsidR="00562A99" w:rsidRPr="000C4C70">
              <w:t>ar likumprojektu tik</w:t>
            </w:r>
            <w:r w:rsidR="00F923FF">
              <w:t>s</w:t>
            </w:r>
            <w:r w:rsidR="00562A99" w:rsidRPr="000C4C70">
              <w:t xml:space="preserve"> </w:t>
            </w:r>
            <w:r w:rsidR="00AE2FEE">
              <w:t>nosūtīta</w:t>
            </w:r>
            <w:r w:rsidR="00AE2FEE" w:rsidRPr="000C4C70">
              <w:t xml:space="preserve"> </w:t>
            </w:r>
            <w:r w:rsidR="00794C20" w:rsidRPr="000C4C70">
              <w:t>Latvijas Darba devēju konfederācijai, Latvijas Nodokļu konsultantu asociācijai, Latvijas Tirdzniecības un rūpniecības kamerai</w:t>
            </w:r>
            <w:r w:rsidR="0098578D" w:rsidRPr="000C4C70">
              <w:t>, Latvijas nodokļu maksātāju tiesību asociācijai</w:t>
            </w:r>
            <w:r w:rsidR="00FF2022">
              <w:t>, Latvijas Kokrūpniecības federācijai</w:t>
            </w:r>
            <w:r w:rsidR="00562A99" w:rsidRPr="000C4C70">
              <w:t>.</w:t>
            </w:r>
            <w:r w:rsidR="0098578D" w:rsidRPr="000C4C70">
              <w:t xml:space="preserve"> </w:t>
            </w:r>
          </w:p>
        </w:tc>
      </w:tr>
      <w:tr w:rsidR="000C4C70" w:rsidRPr="000C4C70" w14:paraId="55D3171E" w14:textId="77777777" w:rsidTr="0024766E">
        <w:trPr>
          <w:cantSplit/>
        </w:trPr>
        <w:tc>
          <w:tcPr>
            <w:tcW w:w="226" w:type="pct"/>
            <w:hideMark/>
          </w:tcPr>
          <w:p w14:paraId="308D1439" w14:textId="77777777" w:rsidR="00562A99" w:rsidRPr="000C4C70" w:rsidRDefault="00562A99" w:rsidP="00562A99">
            <w:pPr>
              <w:jc w:val="center"/>
            </w:pPr>
            <w:r w:rsidRPr="000C4C70">
              <w:lastRenderedPageBreak/>
              <w:t>2.</w:t>
            </w:r>
          </w:p>
        </w:tc>
        <w:tc>
          <w:tcPr>
            <w:tcW w:w="1061" w:type="pct"/>
            <w:hideMark/>
          </w:tcPr>
          <w:p w14:paraId="2F4D8F99" w14:textId="77777777" w:rsidR="00562A99" w:rsidRPr="000C4C70" w:rsidRDefault="00562A99" w:rsidP="00562A99">
            <w:r w:rsidRPr="000C4C70">
              <w:t>Sabiedrības līdzdalība projekta izstrādē</w:t>
            </w:r>
          </w:p>
        </w:tc>
        <w:tc>
          <w:tcPr>
            <w:tcW w:w="3713" w:type="pct"/>
            <w:hideMark/>
          </w:tcPr>
          <w:p w14:paraId="0F95DA40" w14:textId="78E29EE9" w:rsidR="00562A99" w:rsidRDefault="00562A99" w:rsidP="00213D19">
            <w:pPr>
              <w:ind w:left="108" w:right="109"/>
              <w:jc w:val="both"/>
            </w:pPr>
            <w:r w:rsidRPr="00CF2E05">
              <w:t>Sabiedrības pārstāvji varēja līdzdarboties projekta izstrādē, rakstveidā sniedzot</w:t>
            </w:r>
            <w:r w:rsidR="00CF2E05">
              <w:t xml:space="preserve"> viedokļus par projektu, kas </w:t>
            </w:r>
            <w:proofErr w:type="gramStart"/>
            <w:r w:rsidR="00CF2E05">
              <w:t>2020</w:t>
            </w:r>
            <w:r w:rsidR="003C5EDC" w:rsidRPr="00CF2E05">
              <w:t>.</w:t>
            </w:r>
            <w:r w:rsidR="003C5EDC" w:rsidRPr="00700FD8">
              <w:t>gada</w:t>
            </w:r>
            <w:proofErr w:type="gramEnd"/>
            <w:r w:rsidR="003C5EDC" w:rsidRPr="00700FD8">
              <w:t xml:space="preserve"> </w:t>
            </w:r>
            <w:r w:rsidR="001B07FA" w:rsidRPr="00700FD8">
              <w:t>19</w:t>
            </w:r>
            <w:r w:rsidR="00403305" w:rsidRPr="00700FD8">
              <w:t>.</w:t>
            </w:r>
            <w:r w:rsidR="003C5EDC" w:rsidRPr="00700FD8">
              <w:t>jūnijā</w:t>
            </w:r>
            <w:r w:rsidRPr="00700FD8">
              <w:t xml:space="preserve"> publicēts </w:t>
            </w:r>
            <w:r w:rsidRPr="00CF2E05">
              <w:t xml:space="preserve">Finanšu ministrijas tīmekļvietnē sadaļā “Sabiedrības līdzdalība” – “Tiesību aktu projekti” – “Nodokļu politika”, adrese: </w:t>
            </w:r>
            <w:hyperlink r:id="rId18" w:anchor="project522" w:history="1">
              <w:r w:rsidRPr="00CF2E05">
                <w:rPr>
                  <w:rStyle w:val="Hyperlink"/>
                  <w:color w:val="auto"/>
                </w:rPr>
                <w:t>http://www.fm.gov.lv/lv/sabiedribas_lidzdaliba/tiesibu_aktu_projekti/nodoklu_politika#project522</w:t>
              </w:r>
            </w:hyperlink>
            <w:r w:rsidRPr="00CF2E05">
              <w:t xml:space="preserve"> un Ministru kabineta tīmekļvietnē sadaļā “Valsts kanceleja” – “Sabiedrības līdzdalība”, adrese: </w:t>
            </w:r>
            <w:hyperlink r:id="rId19" w:history="1">
              <w:r w:rsidRPr="00CF2E05">
                <w:rPr>
                  <w:rStyle w:val="Hyperlink"/>
                  <w:color w:val="auto"/>
                </w:rPr>
                <w:t>https://www.mk.gov.lv/content/ministru-kabineta-diskusiju-dokumenti</w:t>
              </w:r>
            </w:hyperlink>
            <w:r w:rsidRPr="00CF2E05">
              <w:t xml:space="preserve"> ar aicinājumu s</w:t>
            </w:r>
            <w:r w:rsidR="00CF2E05">
              <w:t>abiedrību līdzdarboties līdz 2020</w:t>
            </w:r>
            <w:r w:rsidRPr="00CF2E05">
              <w:t xml:space="preserve">.gada </w:t>
            </w:r>
            <w:r w:rsidR="00213D19" w:rsidRPr="00213D19">
              <w:t>13</w:t>
            </w:r>
            <w:r w:rsidR="00CF2E05" w:rsidRPr="00213D19">
              <w:t>.jū</w:t>
            </w:r>
            <w:r w:rsidR="00213D19" w:rsidRPr="00213D19">
              <w:t>l</w:t>
            </w:r>
            <w:r w:rsidR="00CF2E05" w:rsidRPr="00213D19">
              <w:t>ijam</w:t>
            </w:r>
            <w:r w:rsidRPr="00213D19">
              <w:t>.</w:t>
            </w:r>
          </w:p>
          <w:p w14:paraId="1F7E92D1" w14:textId="320DD034" w:rsidR="00AB5022" w:rsidRPr="000C4C70" w:rsidRDefault="00AB5022" w:rsidP="007412EB">
            <w:pPr>
              <w:ind w:left="108" w:right="109"/>
              <w:jc w:val="both"/>
            </w:pPr>
            <w:r>
              <w:t xml:space="preserve">Jautājums par </w:t>
            </w:r>
            <w:r w:rsidR="003D1F48">
              <w:t xml:space="preserve">pārmaksātā </w:t>
            </w:r>
            <w:r>
              <w:t xml:space="preserve">PVN </w:t>
            </w:r>
            <w:r w:rsidR="003D1F48">
              <w:t>summas</w:t>
            </w:r>
            <w:r>
              <w:t xml:space="preserve"> atmaksas </w:t>
            </w:r>
            <w:r w:rsidR="007412EB">
              <w:t>kārtības</w:t>
            </w:r>
            <w:proofErr w:type="gramStart"/>
            <w:r w:rsidR="007412EB">
              <w:t xml:space="preserve"> </w:t>
            </w:r>
            <w:r>
              <w:t xml:space="preserve"> </w:t>
            </w:r>
            <w:proofErr w:type="gramEnd"/>
            <w:r>
              <w:t>pilnveidošanu</w:t>
            </w:r>
            <w:r w:rsidR="00AE2FEE">
              <w:t xml:space="preserve"> (diskutējot par atmaksas termiņu)</w:t>
            </w:r>
            <w:r>
              <w:t xml:space="preserve"> tika izskatīts arī </w:t>
            </w:r>
            <w:r w:rsidR="003D1F48" w:rsidRPr="003D1F48">
              <w:t>VID attīstības konsultatīvās padomes 2019.gada 3.septembra sēdē</w:t>
            </w:r>
            <w:r w:rsidR="003D1F48">
              <w:t xml:space="preserve">, kā arī </w:t>
            </w:r>
            <w:r>
              <w:t>2020.gada 11.martā notikušajā VID nodokļu konsultat</w:t>
            </w:r>
            <w:r w:rsidR="00755969">
              <w:t>īvās</w:t>
            </w:r>
            <w:r>
              <w:t xml:space="preserve"> padomes sēdē.</w:t>
            </w:r>
          </w:p>
        </w:tc>
      </w:tr>
      <w:tr w:rsidR="000C4C70" w:rsidRPr="000C4C70" w14:paraId="0FECF9CC" w14:textId="77777777" w:rsidTr="0024766E">
        <w:trPr>
          <w:cantSplit/>
        </w:trPr>
        <w:tc>
          <w:tcPr>
            <w:tcW w:w="226" w:type="pct"/>
            <w:hideMark/>
          </w:tcPr>
          <w:p w14:paraId="1E2AC6C6" w14:textId="77777777" w:rsidR="00562A99" w:rsidRPr="000C4C70" w:rsidRDefault="00562A99" w:rsidP="00562A99">
            <w:pPr>
              <w:jc w:val="center"/>
            </w:pPr>
            <w:r w:rsidRPr="000C4C70">
              <w:t>3.</w:t>
            </w:r>
          </w:p>
        </w:tc>
        <w:tc>
          <w:tcPr>
            <w:tcW w:w="1061" w:type="pct"/>
            <w:hideMark/>
          </w:tcPr>
          <w:p w14:paraId="6A184A7B" w14:textId="77777777" w:rsidR="00562A99" w:rsidRPr="000C4C70" w:rsidRDefault="00562A99" w:rsidP="00562A99">
            <w:r w:rsidRPr="000C4C70">
              <w:t>Sabiedrības līdzdalības rezultāti</w:t>
            </w:r>
          </w:p>
        </w:tc>
        <w:tc>
          <w:tcPr>
            <w:tcW w:w="3713" w:type="pct"/>
            <w:hideMark/>
          </w:tcPr>
          <w:p w14:paraId="33B56D63" w14:textId="77777777" w:rsidR="009142AD" w:rsidRPr="006106CF" w:rsidRDefault="001B07FA" w:rsidP="00AE2FEE">
            <w:pPr>
              <w:ind w:left="108" w:right="109"/>
              <w:jc w:val="both"/>
            </w:pPr>
            <w:r w:rsidRPr="006106CF">
              <w:t xml:space="preserve">Šobrīd nav informācijas par sabiedrības viedokli. </w:t>
            </w:r>
          </w:p>
          <w:p w14:paraId="768BD403" w14:textId="77777777" w:rsidR="007412EB" w:rsidRPr="006106CF" w:rsidRDefault="007412EB" w:rsidP="00AE2FEE">
            <w:pPr>
              <w:ind w:left="108" w:right="109"/>
              <w:jc w:val="both"/>
            </w:pPr>
            <w:r w:rsidRPr="006106CF">
              <w:t>Savukārt jautājumā par pārmaksātā PVN summas atmaksas termiņa noteikšanu nevalstiskā sektora sadarbības partneri atbalstīja Finanšu ministrijas ierosināto 30 dienu termiņa noteikšanu bez papildu VID tiesībām minēto termiņu pagarināt.</w:t>
            </w:r>
          </w:p>
          <w:p w14:paraId="40EE457F" w14:textId="69CCC762" w:rsidR="00984064" w:rsidRPr="006106CF" w:rsidRDefault="00F14F70" w:rsidP="00470EF0">
            <w:pPr>
              <w:ind w:left="108" w:right="109"/>
              <w:jc w:val="both"/>
            </w:pPr>
            <w:r w:rsidRPr="006106CF">
              <w:t xml:space="preserve">Nav veikti īpaši sabiedrības līdzdalības pasākumi attiecībā uz PVN samazinātās likmes piecu procentu apmērā saglabāšanu, savukārt </w:t>
            </w:r>
            <w:r w:rsidR="00984064" w:rsidRPr="006106CF">
              <w:t xml:space="preserve">portālā “Mana balss” </w:t>
            </w:r>
            <w:r w:rsidRPr="006106CF">
              <w:t xml:space="preserve">uz </w:t>
            </w:r>
            <w:proofErr w:type="gramStart"/>
            <w:r w:rsidR="00470EF0" w:rsidRPr="006106CF">
              <w:t>2020.gada</w:t>
            </w:r>
            <w:proofErr w:type="gramEnd"/>
            <w:r w:rsidRPr="006106CF">
              <w:t xml:space="preserve"> 25.septem</w:t>
            </w:r>
            <w:r w:rsidR="00795CB5" w:rsidRPr="006106CF">
              <w:t>b</w:t>
            </w:r>
            <w:r w:rsidRPr="006106CF">
              <w:t xml:space="preserve">ri nobalsoja 4911 </w:t>
            </w:r>
            <w:r w:rsidR="00677B5A" w:rsidRPr="006106CF">
              <w:t>iedzīvotāji</w:t>
            </w:r>
            <w:r w:rsidR="00E141CC" w:rsidRPr="006106CF">
              <w:t>,</w:t>
            </w:r>
            <w:r w:rsidRPr="006106CF">
              <w:t xml:space="preserve"> </w:t>
            </w:r>
            <w:r w:rsidR="00984064" w:rsidRPr="006106CF">
              <w:t>atb</w:t>
            </w:r>
            <w:r w:rsidRPr="006106CF">
              <w:t>alstot šādas likmes saglabāšanu.</w:t>
            </w:r>
          </w:p>
        </w:tc>
      </w:tr>
      <w:tr w:rsidR="00562A99" w:rsidRPr="000C4C70" w14:paraId="1DF5D161" w14:textId="77777777" w:rsidTr="0024766E">
        <w:trPr>
          <w:cantSplit/>
        </w:trPr>
        <w:tc>
          <w:tcPr>
            <w:tcW w:w="226" w:type="pct"/>
            <w:hideMark/>
          </w:tcPr>
          <w:p w14:paraId="1137C6BA" w14:textId="77777777" w:rsidR="00562A99" w:rsidRPr="000C4C70" w:rsidRDefault="00562A99" w:rsidP="00562A99">
            <w:pPr>
              <w:jc w:val="center"/>
            </w:pPr>
            <w:r w:rsidRPr="000C4C70">
              <w:t>4.</w:t>
            </w:r>
          </w:p>
        </w:tc>
        <w:tc>
          <w:tcPr>
            <w:tcW w:w="1061" w:type="pct"/>
            <w:hideMark/>
          </w:tcPr>
          <w:p w14:paraId="23CF8937" w14:textId="77777777" w:rsidR="00562A99" w:rsidRPr="000C4C70" w:rsidRDefault="00562A99" w:rsidP="00562A99">
            <w:r w:rsidRPr="000C4C70">
              <w:t>Cita informācija</w:t>
            </w:r>
          </w:p>
        </w:tc>
        <w:tc>
          <w:tcPr>
            <w:tcW w:w="3713" w:type="pct"/>
            <w:hideMark/>
          </w:tcPr>
          <w:p w14:paraId="6BCFCCEF" w14:textId="4E4BAEF5" w:rsidR="00562A99" w:rsidRPr="000C4C70" w:rsidRDefault="00562A99" w:rsidP="00562A99">
            <w:r w:rsidRPr="000C4C70">
              <w:t>Nav.</w:t>
            </w:r>
          </w:p>
        </w:tc>
      </w:tr>
    </w:tbl>
    <w:p w14:paraId="2BEDD512" w14:textId="77777777" w:rsidR="005028DD" w:rsidRPr="000C4C70" w:rsidRDefault="005028DD"/>
    <w:tbl>
      <w:tblPr>
        <w:tblW w:w="56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439"/>
        <w:gridCol w:w="3434"/>
        <w:gridCol w:w="5478"/>
      </w:tblGrid>
      <w:tr w:rsidR="000C4C70" w:rsidRPr="000C4C70" w14:paraId="597A8DD9" w14:textId="77777777" w:rsidTr="0024766E">
        <w:trPr>
          <w:cantSplit/>
        </w:trPr>
        <w:tc>
          <w:tcPr>
            <w:tcW w:w="5000" w:type="pct"/>
            <w:gridSpan w:val="3"/>
            <w:vAlign w:val="center"/>
            <w:hideMark/>
          </w:tcPr>
          <w:p w14:paraId="73A9F074" w14:textId="77777777" w:rsidR="00562A99" w:rsidRPr="000C4C70" w:rsidRDefault="00562A99" w:rsidP="00562A99">
            <w:pPr>
              <w:jc w:val="center"/>
              <w:rPr>
                <w:b/>
                <w:bCs/>
              </w:rPr>
            </w:pPr>
            <w:r w:rsidRPr="000C4C70">
              <w:rPr>
                <w:b/>
                <w:bCs/>
              </w:rPr>
              <w:t>VII. Tiesību akta projekta izpildes nodrošināšana un tās ietekme uz institūcijām</w:t>
            </w:r>
          </w:p>
        </w:tc>
      </w:tr>
      <w:tr w:rsidR="000C4C70" w:rsidRPr="000C4C70" w14:paraId="16F40C7B" w14:textId="77777777" w:rsidTr="0024766E">
        <w:trPr>
          <w:cantSplit/>
        </w:trPr>
        <w:tc>
          <w:tcPr>
            <w:tcW w:w="235" w:type="pct"/>
            <w:hideMark/>
          </w:tcPr>
          <w:p w14:paraId="4DA09379" w14:textId="77777777" w:rsidR="00562A99" w:rsidRPr="000C4C70" w:rsidRDefault="00562A99" w:rsidP="00562A99">
            <w:pPr>
              <w:jc w:val="center"/>
            </w:pPr>
            <w:r w:rsidRPr="000C4C70">
              <w:t>1.</w:t>
            </w:r>
          </w:p>
        </w:tc>
        <w:tc>
          <w:tcPr>
            <w:tcW w:w="1836" w:type="pct"/>
            <w:hideMark/>
          </w:tcPr>
          <w:p w14:paraId="24467A67" w14:textId="77777777" w:rsidR="00562A99" w:rsidRPr="000C4C70" w:rsidRDefault="00562A99" w:rsidP="00562A99">
            <w:r w:rsidRPr="000C4C70">
              <w:t>Projekta izpildē iesaistītās institūcijas</w:t>
            </w:r>
          </w:p>
        </w:tc>
        <w:tc>
          <w:tcPr>
            <w:tcW w:w="2929" w:type="pct"/>
            <w:hideMark/>
          </w:tcPr>
          <w:p w14:paraId="15C73975" w14:textId="1D895D1A" w:rsidR="00562A99" w:rsidRPr="000C4C70" w:rsidRDefault="00562A99" w:rsidP="00562A99">
            <w:r w:rsidRPr="000C4C70">
              <w:t>VID</w:t>
            </w:r>
          </w:p>
        </w:tc>
      </w:tr>
      <w:tr w:rsidR="000C4C70" w:rsidRPr="000C4C70" w14:paraId="2BD6218F" w14:textId="77777777" w:rsidTr="0024766E">
        <w:trPr>
          <w:cantSplit/>
        </w:trPr>
        <w:tc>
          <w:tcPr>
            <w:tcW w:w="235" w:type="pct"/>
            <w:hideMark/>
          </w:tcPr>
          <w:p w14:paraId="2B8F8F65" w14:textId="77777777" w:rsidR="00562A99" w:rsidRPr="000C4C70" w:rsidRDefault="00562A99" w:rsidP="00562A99">
            <w:pPr>
              <w:jc w:val="center"/>
            </w:pPr>
            <w:r w:rsidRPr="000C4C70">
              <w:t>2.</w:t>
            </w:r>
          </w:p>
        </w:tc>
        <w:tc>
          <w:tcPr>
            <w:tcW w:w="1836" w:type="pct"/>
            <w:hideMark/>
          </w:tcPr>
          <w:p w14:paraId="3D7CDED2" w14:textId="77777777" w:rsidR="00562A99" w:rsidRPr="000C4C70" w:rsidRDefault="00562A99" w:rsidP="00562A99">
            <w:r w:rsidRPr="000C4C70">
              <w:t>Projekta izpildes ietekme uz pārvaldes funkcijām un institucionālo struktūru.</w:t>
            </w:r>
            <w:r w:rsidRPr="000C4C70">
              <w:br/>
              <w:t>Jaunu institūciju izveide, esošu institūciju likvidācija vai reorganizācija, to ietekme uz institūcijas cilvēkresursiem</w:t>
            </w:r>
          </w:p>
        </w:tc>
        <w:tc>
          <w:tcPr>
            <w:tcW w:w="2929" w:type="pct"/>
            <w:hideMark/>
          </w:tcPr>
          <w:p w14:paraId="469DB92F" w14:textId="48C995C2" w:rsidR="00562A99" w:rsidRPr="000C4C70" w:rsidRDefault="00562A99" w:rsidP="00562A99">
            <w:pPr>
              <w:jc w:val="both"/>
            </w:pPr>
            <w:r w:rsidRPr="000C4C70">
              <w:t>Likumprojekts nemainīs pārvaldes funkcijas un institucionālo struktūru, kā arī netiks veidotas jaunas institūcijas, savukārt esošās institūcijas netiks likvidētas vai reorganizētas.</w:t>
            </w:r>
          </w:p>
        </w:tc>
      </w:tr>
      <w:tr w:rsidR="00562A99" w:rsidRPr="000C4C70" w14:paraId="54E26C60" w14:textId="77777777" w:rsidTr="0024766E">
        <w:trPr>
          <w:cantSplit/>
        </w:trPr>
        <w:tc>
          <w:tcPr>
            <w:tcW w:w="235" w:type="pct"/>
            <w:hideMark/>
          </w:tcPr>
          <w:p w14:paraId="50D22A7D" w14:textId="77777777" w:rsidR="00562A99" w:rsidRPr="000C4C70" w:rsidRDefault="00562A99" w:rsidP="00562A99">
            <w:pPr>
              <w:jc w:val="center"/>
            </w:pPr>
            <w:r w:rsidRPr="000C4C70">
              <w:t>3.</w:t>
            </w:r>
          </w:p>
        </w:tc>
        <w:tc>
          <w:tcPr>
            <w:tcW w:w="1836" w:type="pct"/>
            <w:hideMark/>
          </w:tcPr>
          <w:p w14:paraId="29B4D873" w14:textId="77777777" w:rsidR="00562A99" w:rsidRPr="000C4C70" w:rsidRDefault="00562A99" w:rsidP="00562A99">
            <w:r w:rsidRPr="000C4C70">
              <w:t>Cita informācija</w:t>
            </w:r>
          </w:p>
        </w:tc>
        <w:tc>
          <w:tcPr>
            <w:tcW w:w="2929" w:type="pct"/>
            <w:hideMark/>
          </w:tcPr>
          <w:p w14:paraId="19E081DB" w14:textId="2CE776E8" w:rsidR="00562A99" w:rsidRPr="000C4C70" w:rsidRDefault="00562A99" w:rsidP="00562A99">
            <w:r w:rsidRPr="000C4C70">
              <w:t>Nav</w:t>
            </w:r>
          </w:p>
        </w:tc>
      </w:tr>
    </w:tbl>
    <w:p w14:paraId="0C5FE830" w14:textId="2602EC5B" w:rsidR="00614D39" w:rsidRPr="000C4C70" w:rsidRDefault="00614D39"/>
    <w:p w14:paraId="3320F128" w14:textId="77777777" w:rsidR="004A7411" w:rsidRPr="000C4C70" w:rsidRDefault="004A7411"/>
    <w:p w14:paraId="31C8B0E7" w14:textId="77777777" w:rsidR="0050236C" w:rsidRDefault="0050236C" w:rsidP="0050236C">
      <w:pPr>
        <w:pStyle w:val="Body"/>
        <w:spacing w:after="0" w:line="240" w:lineRule="auto"/>
        <w:jc w:val="both"/>
        <w:rPr>
          <w:rFonts w:ascii="Times New Roman" w:hAnsi="Times New Roman"/>
          <w:color w:val="auto"/>
          <w:sz w:val="28"/>
          <w:lang w:val="de-DE"/>
        </w:rPr>
      </w:pPr>
    </w:p>
    <w:p w14:paraId="7B376E33" w14:textId="77777777" w:rsidR="0050236C" w:rsidRPr="00DE283C" w:rsidRDefault="0050236C" w:rsidP="00037EE9">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Finanšu ministrs</w:t>
      </w:r>
      <w:r>
        <w:rPr>
          <w:rFonts w:ascii="Times New Roman" w:hAnsi="Times New Roman"/>
          <w:color w:val="auto"/>
          <w:sz w:val="28"/>
          <w:lang w:val="de-DE"/>
        </w:rPr>
        <w:tab/>
      </w:r>
      <w:r w:rsidRPr="00DE283C">
        <w:rPr>
          <w:rFonts w:ascii="Times New Roman" w:hAnsi="Times New Roman"/>
          <w:color w:val="auto"/>
          <w:sz w:val="28"/>
          <w:lang w:val="de-DE"/>
        </w:rPr>
        <w:t>J</w:t>
      </w:r>
      <w:r>
        <w:rPr>
          <w:rFonts w:ascii="Times New Roman" w:hAnsi="Times New Roman"/>
          <w:color w:val="auto"/>
          <w:sz w:val="28"/>
          <w:lang w:val="de-DE"/>
        </w:rPr>
        <w:t>. </w:t>
      </w:r>
      <w:r w:rsidRPr="00DE283C">
        <w:rPr>
          <w:rFonts w:ascii="Times New Roman" w:hAnsi="Times New Roman"/>
          <w:color w:val="auto"/>
          <w:sz w:val="28"/>
          <w:lang w:val="de-DE"/>
        </w:rPr>
        <w:t>Reirs</w:t>
      </w:r>
    </w:p>
    <w:p w14:paraId="6A877050" w14:textId="489AF3F7" w:rsidR="001C2B45" w:rsidRPr="000C4C70" w:rsidRDefault="001C2B45"/>
    <w:p w14:paraId="4F9E3905" w14:textId="57C71BFD" w:rsidR="001C2B45" w:rsidRPr="000C4C70" w:rsidRDefault="001C2B45"/>
    <w:p w14:paraId="0E819964" w14:textId="0A179F7F" w:rsidR="001C2B45" w:rsidRPr="000C4C70" w:rsidRDefault="001C2B45" w:rsidP="004A7411">
      <w:pPr>
        <w:tabs>
          <w:tab w:val="left" w:pos="5145"/>
        </w:tabs>
      </w:pPr>
    </w:p>
    <w:p w14:paraId="4A497C22" w14:textId="63C865EA" w:rsidR="001C2B45" w:rsidRPr="000C4C70" w:rsidRDefault="001C2B45"/>
    <w:p w14:paraId="6624F176" w14:textId="77777777" w:rsidR="00094CE5" w:rsidRPr="00F41C37" w:rsidRDefault="00094CE5" w:rsidP="00094CE5">
      <w:pPr>
        <w:ind w:firstLine="142"/>
        <w:rPr>
          <w:sz w:val="20"/>
        </w:rPr>
      </w:pPr>
      <w:r>
        <w:rPr>
          <w:sz w:val="20"/>
        </w:rPr>
        <w:t>Lukjanska 67095514</w:t>
      </w:r>
    </w:p>
    <w:p w14:paraId="32501B8D" w14:textId="77777777" w:rsidR="00094CE5" w:rsidRPr="00A74705" w:rsidRDefault="00094CE5" w:rsidP="00094CE5">
      <w:pPr>
        <w:ind w:firstLine="142"/>
        <w:rPr>
          <w:sz w:val="20"/>
        </w:rPr>
      </w:pPr>
      <w:r>
        <w:rPr>
          <w:sz w:val="20"/>
        </w:rPr>
        <w:t>Diana.Lukjanska</w:t>
      </w:r>
      <w:r w:rsidRPr="00F41C37">
        <w:rPr>
          <w:sz w:val="20"/>
        </w:rPr>
        <w:t>@fm.gov.lv</w:t>
      </w:r>
    </w:p>
    <w:p w14:paraId="463DC857" w14:textId="77777777" w:rsidR="00094CE5" w:rsidRPr="006D6710" w:rsidRDefault="00094CE5" w:rsidP="00094CE5">
      <w:pPr>
        <w:rPr>
          <w:sz w:val="20"/>
        </w:rPr>
      </w:pPr>
    </w:p>
    <w:p w14:paraId="19FAB8A0" w14:textId="18A4FCE6" w:rsidR="001C2B45" w:rsidRPr="0050236C" w:rsidRDefault="0050236C">
      <w:pPr>
        <w:rPr>
          <w:sz w:val="20"/>
          <w:szCs w:val="20"/>
        </w:rPr>
      </w:pPr>
      <w:r w:rsidRPr="0050236C">
        <w:rPr>
          <w:sz w:val="20"/>
          <w:szCs w:val="20"/>
        </w:rPr>
        <w:t>v_sk = 8215</w:t>
      </w:r>
    </w:p>
    <w:sectPr w:rsidR="001C2B45" w:rsidRPr="0050236C" w:rsidSect="001609A9">
      <w:type w:val="continuous"/>
      <w:pgSz w:w="11906" w:h="16838"/>
      <w:pgMar w:top="1077" w:right="1797" w:bottom="567" w:left="1797"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8AFAA" w14:textId="77777777" w:rsidR="00074985" w:rsidRDefault="00074985" w:rsidP="009C3335">
      <w:r>
        <w:separator/>
      </w:r>
    </w:p>
  </w:endnote>
  <w:endnote w:type="continuationSeparator" w:id="0">
    <w:p w14:paraId="2B4ED1E9" w14:textId="77777777" w:rsidR="00074985" w:rsidRDefault="00074985" w:rsidP="009C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CD974" w14:textId="4F9A8915" w:rsidR="00540A30" w:rsidRPr="00686B9F" w:rsidRDefault="00540A30" w:rsidP="00686B9F">
    <w:pPr>
      <w:pStyle w:val="Footer"/>
    </w:pPr>
    <w:r>
      <w:rPr>
        <w:sz w:val="18"/>
        <w:szCs w:val="18"/>
      </w:rPr>
      <w:fldChar w:fldCharType="begin"/>
    </w:r>
    <w:r>
      <w:rPr>
        <w:sz w:val="18"/>
        <w:szCs w:val="18"/>
      </w:rPr>
      <w:instrText xml:space="preserve"> FILENAME   \* MERGEFORMAT </w:instrText>
    </w:r>
    <w:r>
      <w:rPr>
        <w:sz w:val="18"/>
        <w:szCs w:val="18"/>
      </w:rPr>
      <w:fldChar w:fldCharType="separate"/>
    </w:r>
    <w:r>
      <w:rPr>
        <w:noProof/>
        <w:sz w:val="18"/>
        <w:szCs w:val="18"/>
      </w:rPr>
      <w:t>FMAnot_290920_PVNgroz</w:t>
    </w:r>
    <w:r>
      <w:rPr>
        <w:sz w:val="18"/>
        <w:szCs w:val="18"/>
      </w:rPr>
      <w:fldChar w:fldCharType="end"/>
    </w:r>
    <w:r w:rsidR="0050236C">
      <w:rPr>
        <w:sz w:val="18"/>
        <w:szCs w:val="18"/>
      </w:rPr>
      <w:t xml:space="preserve"> (TA-1882)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25631" w14:textId="6D512045" w:rsidR="00540A30" w:rsidRPr="00686B9F" w:rsidRDefault="00540A30" w:rsidP="00686B9F">
    <w:pPr>
      <w:pStyle w:val="Footer"/>
    </w:pPr>
    <w:r>
      <w:rPr>
        <w:sz w:val="18"/>
        <w:szCs w:val="18"/>
      </w:rPr>
      <w:fldChar w:fldCharType="begin"/>
    </w:r>
    <w:r>
      <w:rPr>
        <w:sz w:val="18"/>
        <w:szCs w:val="18"/>
      </w:rPr>
      <w:instrText xml:space="preserve"> FILENAME   \* MERGEFORMAT </w:instrText>
    </w:r>
    <w:r>
      <w:rPr>
        <w:sz w:val="18"/>
        <w:szCs w:val="18"/>
      </w:rPr>
      <w:fldChar w:fldCharType="separate"/>
    </w:r>
    <w:r>
      <w:rPr>
        <w:noProof/>
        <w:sz w:val="18"/>
        <w:szCs w:val="18"/>
      </w:rPr>
      <w:t>FMAnot_290920_PVNgroz</w:t>
    </w:r>
    <w:r>
      <w:rPr>
        <w:sz w:val="18"/>
        <w:szCs w:val="18"/>
      </w:rPr>
      <w:fldChar w:fldCharType="end"/>
    </w:r>
    <w:r w:rsidR="0050236C">
      <w:rPr>
        <w:sz w:val="18"/>
        <w:szCs w:val="18"/>
      </w:rPr>
      <w:t xml:space="preserve"> (TA-1882)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52D68" w14:textId="77777777" w:rsidR="00074985" w:rsidRDefault="00074985" w:rsidP="009C3335">
      <w:r>
        <w:separator/>
      </w:r>
    </w:p>
  </w:footnote>
  <w:footnote w:type="continuationSeparator" w:id="0">
    <w:p w14:paraId="28D16B70" w14:textId="77777777" w:rsidR="00074985" w:rsidRDefault="00074985" w:rsidP="009C3335">
      <w:r>
        <w:continuationSeparator/>
      </w:r>
    </w:p>
  </w:footnote>
  <w:footnote w:id="1">
    <w:p w14:paraId="6A2A4DD8" w14:textId="77777777" w:rsidR="00540A30" w:rsidRDefault="00540A30" w:rsidP="006C5819">
      <w:pPr>
        <w:pStyle w:val="FootnoteText"/>
      </w:pPr>
      <w:r>
        <w:rPr>
          <w:rStyle w:val="FootnoteReference"/>
        </w:rPr>
        <w:footnoteRef/>
      </w:r>
      <w:r>
        <w:t xml:space="preserve"> Likuma “Par nodokļiem un nodevām” 28.panta otrā daļa.</w:t>
      </w:r>
    </w:p>
  </w:footnote>
  <w:footnote w:id="2">
    <w:p w14:paraId="036F08D8" w14:textId="77777777" w:rsidR="00540A30" w:rsidRDefault="00540A30" w:rsidP="006C5819">
      <w:pPr>
        <w:pStyle w:val="FootnoteText"/>
        <w:ind w:right="-624"/>
        <w:jc w:val="both"/>
      </w:pPr>
      <w:r>
        <w:rPr>
          <w:rStyle w:val="FootnoteReference"/>
        </w:rPr>
        <w:footnoteRef/>
      </w:r>
      <w:r>
        <w:t xml:space="preserve"> VID ir pagarinājis PVN pārmaksas izskatīšanas termiņu Pievienotās vērtības nodokļa likuma 110.pantā noteiktajos gadījumos.</w:t>
      </w:r>
    </w:p>
  </w:footnote>
  <w:footnote w:id="3">
    <w:p w14:paraId="55B2FBE5" w14:textId="77777777" w:rsidR="00540A30" w:rsidRDefault="00540A30" w:rsidP="006C5819">
      <w:pPr>
        <w:pStyle w:val="FootnoteText"/>
        <w:ind w:right="-624"/>
        <w:jc w:val="both"/>
      </w:pPr>
      <w:r>
        <w:rPr>
          <w:rStyle w:val="FootnoteReference"/>
        </w:rPr>
        <w:footnoteRef/>
      </w:r>
      <w:r>
        <w:t xml:space="preserve"> VID ir pagarinājis PVN pārmaksas izskatīšanas termiņu Pievienotās vērtības nodokļa likuma 110.pantā noteiktajos gadījumos.</w:t>
      </w:r>
    </w:p>
    <w:p w14:paraId="4E765E37" w14:textId="77777777" w:rsidR="00540A30" w:rsidRDefault="00540A30" w:rsidP="006C5819">
      <w:pPr>
        <w:pStyle w:val="FootnoteText"/>
        <w:ind w:right="-624"/>
        <w:jc w:val="both"/>
      </w:pPr>
    </w:p>
  </w:footnote>
  <w:footnote w:id="4">
    <w:p w14:paraId="50B99C8D" w14:textId="2D2EB9CD" w:rsidR="00540A30" w:rsidRDefault="00540A30" w:rsidP="00125686">
      <w:pPr>
        <w:pStyle w:val="FootnoteText"/>
      </w:pPr>
      <w:r>
        <w:rPr>
          <w:rStyle w:val="FootnoteReference"/>
        </w:rPr>
        <w:footnoteRef/>
      </w:r>
      <w:r>
        <w:t xml:space="preserve"> </w:t>
      </w:r>
      <w:r w:rsidRPr="00080C1E">
        <w:t>Likuma “Par</w:t>
      </w:r>
      <w:r>
        <w:t xml:space="preserve"> nodokļiem un nodevām” 23.</w:t>
      </w:r>
      <w:r w:rsidRPr="00080C1E">
        <w:rPr>
          <w:vertAlign w:val="superscript"/>
        </w:rPr>
        <w:t>1</w:t>
      </w:r>
      <w:r>
        <w:t xml:space="preserve"> pants</w:t>
      </w:r>
    </w:p>
  </w:footnote>
  <w:footnote w:id="5">
    <w:p w14:paraId="0AF01D58" w14:textId="3EFAC2DE" w:rsidR="00540A30" w:rsidRDefault="00540A30" w:rsidP="002E62DC">
      <w:pPr>
        <w:pStyle w:val="FootnoteText"/>
        <w:ind w:right="46"/>
        <w:jc w:val="both"/>
      </w:pPr>
      <w:r>
        <w:rPr>
          <w:rStyle w:val="FootnoteReference"/>
        </w:rPr>
        <w:footnoteRef/>
      </w:r>
      <w:r>
        <w:t xml:space="preserve"> Likuma “</w:t>
      </w:r>
      <w:r w:rsidRPr="008249E2">
        <w:t>Par valsts apdraudējuma un tā seku novēršanas un pārvarēšanas pasākumiem sakarā ar Covid-19 izplatību”</w:t>
      </w:r>
      <w:r>
        <w:t xml:space="preserve"> 6.pants, kas bija piemērojams no 2020.gada 1.aprīļa līdz 9.jūnijam, un </w:t>
      </w:r>
      <w:r w:rsidRPr="00630FCF">
        <w:t>Covid-19 infekcijas izp</w:t>
      </w:r>
      <w:r>
        <w:t>latības seku pārvarēšanas likuma 9.pants, kas ir piemērojams no 2020.gada 10.jūnija līdz 31.decembrim.</w:t>
      </w:r>
    </w:p>
  </w:footnote>
  <w:footnote w:id="6">
    <w:p w14:paraId="3899A1F8" w14:textId="77777777" w:rsidR="00540A30" w:rsidRDefault="00540A30" w:rsidP="0034731D">
      <w:pPr>
        <w:pStyle w:val="FootnoteText"/>
        <w:jc w:val="both"/>
      </w:pPr>
      <w:r>
        <w:rPr>
          <w:rStyle w:val="FootnoteReference"/>
        </w:rPr>
        <w:footnoteRef/>
      </w:r>
      <w:r>
        <w:t xml:space="preserve"> Likuma “</w:t>
      </w:r>
      <w:r w:rsidRPr="008249E2">
        <w:t>Par valsts apdraudējuma un tā seku novēršanas un pārvarēšanas pasākumiem sakarā ar Covid-19 izplatību”</w:t>
      </w:r>
      <w:r>
        <w:t xml:space="preserve"> 6.pants, kas bija piemērojams no 2020.gada 1.aprīļa līdz 9.jūnijam, un </w:t>
      </w:r>
      <w:r w:rsidRPr="00630FCF">
        <w:t>Covid-19 infekcijas izp</w:t>
      </w:r>
      <w:r>
        <w:t>latības seku pārvarēšanas likuma 9.pants, kas ir piemērojams no 2020.gada 10.jūnija līdz 31.decembrim.</w:t>
      </w:r>
    </w:p>
  </w:footnote>
  <w:footnote w:id="7">
    <w:p w14:paraId="5BEC8CAE" w14:textId="33C33B94" w:rsidR="00540A30" w:rsidRPr="005C34B4" w:rsidRDefault="00540A30" w:rsidP="006106CF">
      <w:pPr>
        <w:pStyle w:val="FootnoteText"/>
        <w:jc w:val="both"/>
      </w:pPr>
      <w:r w:rsidRPr="005C34B4">
        <w:rPr>
          <w:rStyle w:val="FootnoteReference"/>
        </w:rPr>
        <w:footnoteRef/>
      </w:r>
      <w:r w:rsidRPr="005C34B4">
        <w:t xml:space="preserve"> </w:t>
      </w:r>
      <w:r w:rsidRPr="006106CF">
        <w:t>PVN deklarāciju 42</w:t>
      </w:r>
      <w:r>
        <w:t>.</w:t>
      </w:r>
      <w:r w:rsidRPr="006106CF">
        <w:rPr>
          <w:vertAlign w:val="superscript"/>
        </w:rPr>
        <w:t>1</w:t>
      </w:r>
      <w:r>
        <w:rPr>
          <w:vertAlign w:val="superscript"/>
        </w:rPr>
        <w:t xml:space="preserve"> </w:t>
      </w:r>
      <w:r w:rsidRPr="006106CF">
        <w:t xml:space="preserve">rinda (darījumiem ar </w:t>
      </w:r>
      <w:r>
        <w:t>Pievienotās vērtības nodokļa</w:t>
      </w:r>
      <w:r w:rsidRPr="006106CF">
        <w:t xml:space="preserve"> likuma 1.pielikumā noteiktajiem svaigiem augļiem, ogām un dārzeņiem).</w:t>
      </w:r>
    </w:p>
  </w:footnote>
  <w:footnote w:id="8">
    <w:p w14:paraId="3C688AAA" w14:textId="20D5A171" w:rsidR="00540A30" w:rsidRPr="003F0723" w:rsidRDefault="00540A30" w:rsidP="006106CF">
      <w:pPr>
        <w:pStyle w:val="ListParagraph"/>
        <w:ind w:left="142" w:hanging="142"/>
        <w:jc w:val="both"/>
      </w:pPr>
      <w:r w:rsidRPr="006106CF">
        <w:rPr>
          <w:rStyle w:val="FootnoteReference"/>
          <w:sz w:val="20"/>
          <w:szCs w:val="20"/>
        </w:rPr>
        <w:footnoteRef/>
      </w:r>
      <w:r w:rsidRPr="006106CF">
        <w:rPr>
          <w:sz w:val="20"/>
          <w:szCs w:val="20"/>
        </w:rPr>
        <w:t xml:space="preserve"> PVN deklarāciju 40</w:t>
      </w:r>
      <w:r>
        <w:rPr>
          <w:sz w:val="20"/>
          <w:szCs w:val="20"/>
        </w:rPr>
        <w:t>.</w:t>
      </w:r>
      <w:r w:rsidRPr="006106CF">
        <w:rPr>
          <w:sz w:val="20"/>
          <w:szCs w:val="20"/>
        </w:rPr>
        <w:t xml:space="preserve">rinda, neieskaitot </w:t>
      </w:r>
      <w:r w:rsidRPr="00CC4FBC">
        <w:rPr>
          <w:sz w:val="20"/>
          <w:szCs w:val="20"/>
        </w:rPr>
        <w:t>42</w:t>
      </w:r>
      <w:r>
        <w:t>.</w:t>
      </w:r>
      <w:r w:rsidRPr="00CC4FBC">
        <w:rPr>
          <w:sz w:val="20"/>
          <w:szCs w:val="20"/>
          <w:vertAlign w:val="superscript"/>
        </w:rPr>
        <w:t>1</w:t>
      </w:r>
      <w:r w:rsidRPr="006106CF">
        <w:rPr>
          <w:sz w:val="20"/>
          <w:szCs w:val="20"/>
        </w:rPr>
        <w:t xml:space="preserve">rindu </w:t>
      </w:r>
      <w:r w:rsidR="005D2699" w:rsidRPr="005D2699">
        <w:rPr>
          <w:sz w:val="20"/>
          <w:szCs w:val="20"/>
        </w:rPr>
        <w:t>(darījumiem ar PVN likuma 1.pielikumā noteiktajiem svaigiem augļiem, ogām un dārzeņiem)</w:t>
      </w:r>
      <w:r w:rsidR="00384144">
        <w:rPr>
          <w:sz w:val="20"/>
          <w:szCs w:val="20"/>
        </w:rPr>
        <w:t>.</w:t>
      </w:r>
    </w:p>
  </w:footnote>
  <w:footnote w:id="9">
    <w:p w14:paraId="2F8E7277" w14:textId="1F4664C9" w:rsidR="00540A30" w:rsidRPr="005C34B4" w:rsidRDefault="00540A30" w:rsidP="006106CF">
      <w:pPr>
        <w:pStyle w:val="FootnoteText"/>
        <w:jc w:val="both"/>
      </w:pPr>
      <w:r w:rsidRPr="005C34B4">
        <w:rPr>
          <w:rStyle w:val="FootnoteReference"/>
        </w:rPr>
        <w:footnoteRef/>
      </w:r>
      <w:r w:rsidRPr="005C34B4">
        <w:t xml:space="preserve"> </w:t>
      </w:r>
      <w:r w:rsidRPr="006106CF">
        <w:t xml:space="preserve">LAD saraksts ar augļu, ogu un </w:t>
      </w:r>
      <w:r w:rsidRPr="005C34B4">
        <w:t xml:space="preserve">dārzeņu audzētājiem, kas audzē </w:t>
      </w:r>
      <w:r>
        <w:t>Pievienotās vērtības nodokļa</w:t>
      </w:r>
      <w:r w:rsidRPr="00CC4FBC">
        <w:t xml:space="preserve"> </w:t>
      </w:r>
      <w:r w:rsidRPr="006106CF">
        <w:t>likumā noteiktos svaigos augļu, ogas un dārzeņus.</w:t>
      </w:r>
    </w:p>
  </w:footnote>
  <w:footnote w:id="10">
    <w:p w14:paraId="2D44E2F4" w14:textId="2F0C2910" w:rsidR="00540A30" w:rsidRPr="005C34B4" w:rsidRDefault="00540A30" w:rsidP="006106CF">
      <w:pPr>
        <w:pStyle w:val="FootnoteText"/>
        <w:jc w:val="both"/>
      </w:pPr>
      <w:r w:rsidRPr="005C34B4">
        <w:rPr>
          <w:rStyle w:val="FootnoteReference"/>
        </w:rPr>
        <w:footnoteRef/>
      </w:r>
      <w:r w:rsidRPr="005C34B4">
        <w:t xml:space="preserve"> </w:t>
      </w:r>
      <w:r w:rsidRPr="006106CF">
        <w:t xml:space="preserve">LAD saraksts ar augļu, ogu un dārzeņu audzētājiem, kas audzē </w:t>
      </w:r>
      <w:r>
        <w:t>Pievienotās vērtības nodokļa</w:t>
      </w:r>
      <w:r w:rsidRPr="00CC4FBC">
        <w:t xml:space="preserve"> </w:t>
      </w:r>
      <w:r w:rsidRPr="006106CF">
        <w:t>likumā noteiktos svaigos augļu, ogas un dārzeņus.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8591854"/>
      <w:docPartObj>
        <w:docPartGallery w:val="Page Numbers (Top of Page)"/>
        <w:docPartUnique/>
      </w:docPartObj>
    </w:sdtPr>
    <w:sdtEndPr>
      <w:rPr>
        <w:noProof/>
      </w:rPr>
    </w:sdtEndPr>
    <w:sdtContent>
      <w:p w14:paraId="78A2FB03" w14:textId="53CFD3C9" w:rsidR="00540A30" w:rsidRDefault="00540A30">
        <w:pPr>
          <w:pStyle w:val="Header"/>
          <w:jc w:val="center"/>
        </w:pPr>
        <w:r>
          <w:fldChar w:fldCharType="begin"/>
        </w:r>
        <w:r>
          <w:instrText xml:space="preserve"> PAGE   \* MERGEFORMAT </w:instrText>
        </w:r>
        <w:r>
          <w:fldChar w:fldCharType="separate"/>
        </w:r>
        <w:r w:rsidR="00F04DFA">
          <w:rPr>
            <w:noProof/>
          </w:rPr>
          <w:t>18</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30AD4"/>
    <w:multiLevelType w:val="hybridMultilevel"/>
    <w:tmpl w:val="08561AE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2C55D96"/>
    <w:multiLevelType w:val="hybridMultilevel"/>
    <w:tmpl w:val="007CEED6"/>
    <w:lvl w:ilvl="0" w:tplc="04260001">
      <w:start w:val="1"/>
      <w:numFmt w:val="bullet"/>
      <w:lvlText w:val=""/>
      <w:lvlJc w:val="left"/>
      <w:pPr>
        <w:ind w:left="644" w:hanging="360"/>
      </w:pPr>
      <w:rPr>
        <w:rFonts w:ascii="Symbol" w:hAnsi="Symbol"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 w15:restartNumberingAfterBreak="0">
    <w:nsid w:val="03A33CB9"/>
    <w:multiLevelType w:val="hybridMultilevel"/>
    <w:tmpl w:val="99C47246"/>
    <w:lvl w:ilvl="0" w:tplc="04260011">
      <w:start w:val="1"/>
      <w:numFmt w:val="decimal"/>
      <w:lvlText w:val="%1)"/>
      <w:lvlJc w:val="left"/>
      <w:pPr>
        <w:ind w:left="1301" w:hanging="360"/>
      </w:pPr>
    </w:lvl>
    <w:lvl w:ilvl="1" w:tplc="04260019" w:tentative="1">
      <w:start w:val="1"/>
      <w:numFmt w:val="lowerLetter"/>
      <w:lvlText w:val="%2."/>
      <w:lvlJc w:val="left"/>
      <w:pPr>
        <w:ind w:left="2021" w:hanging="360"/>
      </w:pPr>
    </w:lvl>
    <w:lvl w:ilvl="2" w:tplc="0426001B" w:tentative="1">
      <w:start w:val="1"/>
      <w:numFmt w:val="lowerRoman"/>
      <w:lvlText w:val="%3."/>
      <w:lvlJc w:val="right"/>
      <w:pPr>
        <w:ind w:left="2741" w:hanging="180"/>
      </w:pPr>
    </w:lvl>
    <w:lvl w:ilvl="3" w:tplc="0426000F" w:tentative="1">
      <w:start w:val="1"/>
      <w:numFmt w:val="decimal"/>
      <w:lvlText w:val="%4."/>
      <w:lvlJc w:val="left"/>
      <w:pPr>
        <w:ind w:left="3461" w:hanging="360"/>
      </w:pPr>
    </w:lvl>
    <w:lvl w:ilvl="4" w:tplc="04260019" w:tentative="1">
      <w:start w:val="1"/>
      <w:numFmt w:val="lowerLetter"/>
      <w:lvlText w:val="%5."/>
      <w:lvlJc w:val="left"/>
      <w:pPr>
        <w:ind w:left="4181" w:hanging="360"/>
      </w:pPr>
    </w:lvl>
    <w:lvl w:ilvl="5" w:tplc="0426001B" w:tentative="1">
      <w:start w:val="1"/>
      <w:numFmt w:val="lowerRoman"/>
      <w:lvlText w:val="%6."/>
      <w:lvlJc w:val="right"/>
      <w:pPr>
        <w:ind w:left="4901" w:hanging="180"/>
      </w:pPr>
    </w:lvl>
    <w:lvl w:ilvl="6" w:tplc="0426000F" w:tentative="1">
      <w:start w:val="1"/>
      <w:numFmt w:val="decimal"/>
      <w:lvlText w:val="%7."/>
      <w:lvlJc w:val="left"/>
      <w:pPr>
        <w:ind w:left="5621" w:hanging="360"/>
      </w:pPr>
    </w:lvl>
    <w:lvl w:ilvl="7" w:tplc="04260019" w:tentative="1">
      <w:start w:val="1"/>
      <w:numFmt w:val="lowerLetter"/>
      <w:lvlText w:val="%8."/>
      <w:lvlJc w:val="left"/>
      <w:pPr>
        <w:ind w:left="6341" w:hanging="360"/>
      </w:pPr>
    </w:lvl>
    <w:lvl w:ilvl="8" w:tplc="0426001B" w:tentative="1">
      <w:start w:val="1"/>
      <w:numFmt w:val="lowerRoman"/>
      <w:lvlText w:val="%9."/>
      <w:lvlJc w:val="right"/>
      <w:pPr>
        <w:ind w:left="7061" w:hanging="180"/>
      </w:pPr>
    </w:lvl>
  </w:abstractNum>
  <w:abstractNum w:abstractNumId="3" w15:restartNumberingAfterBreak="0">
    <w:nsid w:val="0518251B"/>
    <w:multiLevelType w:val="multilevel"/>
    <w:tmpl w:val="3D1CCCCC"/>
    <w:lvl w:ilvl="0">
      <w:start w:val="1"/>
      <w:numFmt w:val="decimal"/>
      <w:lvlText w:val="%1."/>
      <w:lvlJc w:val="left"/>
      <w:pPr>
        <w:ind w:left="1069"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4" w15:restartNumberingAfterBreak="0">
    <w:nsid w:val="10193E19"/>
    <w:multiLevelType w:val="hybridMultilevel"/>
    <w:tmpl w:val="60CCF9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BA4956"/>
    <w:multiLevelType w:val="hybridMultilevel"/>
    <w:tmpl w:val="33E436E6"/>
    <w:lvl w:ilvl="0" w:tplc="04260001">
      <w:start w:val="1"/>
      <w:numFmt w:val="bullet"/>
      <w:lvlText w:val=""/>
      <w:lvlJc w:val="left"/>
      <w:pPr>
        <w:ind w:left="451" w:hanging="360"/>
      </w:pPr>
      <w:rPr>
        <w:rFonts w:ascii="Symbol" w:hAnsi="Symbol" w:hint="default"/>
      </w:rPr>
    </w:lvl>
    <w:lvl w:ilvl="1" w:tplc="04260003" w:tentative="1">
      <w:start w:val="1"/>
      <w:numFmt w:val="bullet"/>
      <w:lvlText w:val="o"/>
      <w:lvlJc w:val="left"/>
      <w:pPr>
        <w:ind w:left="1171" w:hanging="360"/>
      </w:pPr>
      <w:rPr>
        <w:rFonts w:ascii="Courier New" w:hAnsi="Courier New" w:cs="Courier New" w:hint="default"/>
      </w:rPr>
    </w:lvl>
    <w:lvl w:ilvl="2" w:tplc="04260005" w:tentative="1">
      <w:start w:val="1"/>
      <w:numFmt w:val="bullet"/>
      <w:lvlText w:val=""/>
      <w:lvlJc w:val="left"/>
      <w:pPr>
        <w:ind w:left="1891" w:hanging="360"/>
      </w:pPr>
      <w:rPr>
        <w:rFonts w:ascii="Wingdings" w:hAnsi="Wingdings" w:hint="default"/>
      </w:rPr>
    </w:lvl>
    <w:lvl w:ilvl="3" w:tplc="04260001" w:tentative="1">
      <w:start w:val="1"/>
      <w:numFmt w:val="bullet"/>
      <w:lvlText w:val=""/>
      <w:lvlJc w:val="left"/>
      <w:pPr>
        <w:ind w:left="2611" w:hanging="360"/>
      </w:pPr>
      <w:rPr>
        <w:rFonts w:ascii="Symbol" w:hAnsi="Symbol" w:hint="default"/>
      </w:rPr>
    </w:lvl>
    <w:lvl w:ilvl="4" w:tplc="04260003" w:tentative="1">
      <w:start w:val="1"/>
      <w:numFmt w:val="bullet"/>
      <w:lvlText w:val="o"/>
      <w:lvlJc w:val="left"/>
      <w:pPr>
        <w:ind w:left="3331" w:hanging="360"/>
      </w:pPr>
      <w:rPr>
        <w:rFonts w:ascii="Courier New" w:hAnsi="Courier New" w:cs="Courier New" w:hint="default"/>
      </w:rPr>
    </w:lvl>
    <w:lvl w:ilvl="5" w:tplc="04260005" w:tentative="1">
      <w:start w:val="1"/>
      <w:numFmt w:val="bullet"/>
      <w:lvlText w:val=""/>
      <w:lvlJc w:val="left"/>
      <w:pPr>
        <w:ind w:left="4051" w:hanging="360"/>
      </w:pPr>
      <w:rPr>
        <w:rFonts w:ascii="Wingdings" w:hAnsi="Wingdings" w:hint="default"/>
      </w:rPr>
    </w:lvl>
    <w:lvl w:ilvl="6" w:tplc="04260001" w:tentative="1">
      <w:start w:val="1"/>
      <w:numFmt w:val="bullet"/>
      <w:lvlText w:val=""/>
      <w:lvlJc w:val="left"/>
      <w:pPr>
        <w:ind w:left="4771" w:hanging="360"/>
      </w:pPr>
      <w:rPr>
        <w:rFonts w:ascii="Symbol" w:hAnsi="Symbol" w:hint="default"/>
      </w:rPr>
    </w:lvl>
    <w:lvl w:ilvl="7" w:tplc="04260003" w:tentative="1">
      <w:start w:val="1"/>
      <w:numFmt w:val="bullet"/>
      <w:lvlText w:val="o"/>
      <w:lvlJc w:val="left"/>
      <w:pPr>
        <w:ind w:left="5491" w:hanging="360"/>
      </w:pPr>
      <w:rPr>
        <w:rFonts w:ascii="Courier New" w:hAnsi="Courier New" w:cs="Courier New" w:hint="default"/>
      </w:rPr>
    </w:lvl>
    <w:lvl w:ilvl="8" w:tplc="04260005" w:tentative="1">
      <w:start w:val="1"/>
      <w:numFmt w:val="bullet"/>
      <w:lvlText w:val=""/>
      <w:lvlJc w:val="left"/>
      <w:pPr>
        <w:ind w:left="6211" w:hanging="360"/>
      </w:pPr>
      <w:rPr>
        <w:rFonts w:ascii="Wingdings" w:hAnsi="Wingdings" w:hint="default"/>
      </w:rPr>
    </w:lvl>
  </w:abstractNum>
  <w:abstractNum w:abstractNumId="6" w15:restartNumberingAfterBreak="0">
    <w:nsid w:val="146A6726"/>
    <w:multiLevelType w:val="hybridMultilevel"/>
    <w:tmpl w:val="D904F092"/>
    <w:lvl w:ilvl="0" w:tplc="04260001">
      <w:start w:val="1"/>
      <w:numFmt w:val="bullet"/>
      <w:lvlText w:val=""/>
      <w:lvlJc w:val="left"/>
      <w:pPr>
        <w:ind w:left="644" w:hanging="360"/>
      </w:pPr>
      <w:rPr>
        <w:rFonts w:ascii="Symbol" w:hAnsi="Symbol"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7" w15:restartNumberingAfterBreak="0">
    <w:nsid w:val="16D81857"/>
    <w:multiLevelType w:val="hybridMultilevel"/>
    <w:tmpl w:val="10DC1766"/>
    <w:lvl w:ilvl="0" w:tplc="04260001">
      <w:start w:val="1"/>
      <w:numFmt w:val="bullet"/>
      <w:lvlText w:val=""/>
      <w:lvlJc w:val="left"/>
      <w:pPr>
        <w:ind w:left="1020" w:hanging="360"/>
      </w:pPr>
      <w:rPr>
        <w:rFonts w:ascii="Symbol" w:hAnsi="Symbol" w:hint="default"/>
      </w:rPr>
    </w:lvl>
    <w:lvl w:ilvl="1" w:tplc="04260003" w:tentative="1">
      <w:start w:val="1"/>
      <w:numFmt w:val="bullet"/>
      <w:lvlText w:val="o"/>
      <w:lvlJc w:val="left"/>
      <w:pPr>
        <w:ind w:left="1740" w:hanging="360"/>
      </w:pPr>
      <w:rPr>
        <w:rFonts w:ascii="Courier New" w:hAnsi="Courier New" w:cs="Courier New" w:hint="default"/>
      </w:rPr>
    </w:lvl>
    <w:lvl w:ilvl="2" w:tplc="04260005" w:tentative="1">
      <w:start w:val="1"/>
      <w:numFmt w:val="bullet"/>
      <w:lvlText w:val=""/>
      <w:lvlJc w:val="left"/>
      <w:pPr>
        <w:ind w:left="2460" w:hanging="360"/>
      </w:pPr>
      <w:rPr>
        <w:rFonts w:ascii="Wingdings" w:hAnsi="Wingdings" w:hint="default"/>
      </w:rPr>
    </w:lvl>
    <w:lvl w:ilvl="3" w:tplc="04260001" w:tentative="1">
      <w:start w:val="1"/>
      <w:numFmt w:val="bullet"/>
      <w:lvlText w:val=""/>
      <w:lvlJc w:val="left"/>
      <w:pPr>
        <w:ind w:left="3180" w:hanging="360"/>
      </w:pPr>
      <w:rPr>
        <w:rFonts w:ascii="Symbol" w:hAnsi="Symbol" w:hint="default"/>
      </w:rPr>
    </w:lvl>
    <w:lvl w:ilvl="4" w:tplc="04260003" w:tentative="1">
      <w:start w:val="1"/>
      <w:numFmt w:val="bullet"/>
      <w:lvlText w:val="o"/>
      <w:lvlJc w:val="left"/>
      <w:pPr>
        <w:ind w:left="3900" w:hanging="360"/>
      </w:pPr>
      <w:rPr>
        <w:rFonts w:ascii="Courier New" w:hAnsi="Courier New" w:cs="Courier New" w:hint="default"/>
      </w:rPr>
    </w:lvl>
    <w:lvl w:ilvl="5" w:tplc="04260005" w:tentative="1">
      <w:start w:val="1"/>
      <w:numFmt w:val="bullet"/>
      <w:lvlText w:val=""/>
      <w:lvlJc w:val="left"/>
      <w:pPr>
        <w:ind w:left="4620" w:hanging="360"/>
      </w:pPr>
      <w:rPr>
        <w:rFonts w:ascii="Wingdings" w:hAnsi="Wingdings" w:hint="default"/>
      </w:rPr>
    </w:lvl>
    <w:lvl w:ilvl="6" w:tplc="04260001" w:tentative="1">
      <w:start w:val="1"/>
      <w:numFmt w:val="bullet"/>
      <w:lvlText w:val=""/>
      <w:lvlJc w:val="left"/>
      <w:pPr>
        <w:ind w:left="5340" w:hanging="360"/>
      </w:pPr>
      <w:rPr>
        <w:rFonts w:ascii="Symbol" w:hAnsi="Symbol" w:hint="default"/>
      </w:rPr>
    </w:lvl>
    <w:lvl w:ilvl="7" w:tplc="04260003" w:tentative="1">
      <w:start w:val="1"/>
      <w:numFmt w:val="bullet"/>
      <w:lvlText w:val="o"/>
      <w:lvlJc w:val="left"/>
      <w:pPr>
        <w:ind w:left="6060" w:hanging="360"/>
      </w:pPr>
      <w:rPr>
        <w:rFonts w:ascii="Courier New" w:hAnsi="Courier New" w:cs="Courier New" w:hint="default"/>
      </w:rPr>
    </w:lvl>
    <w:lvl w:ilvl="8" w:tplc="04260005" w:tentative="1">
      <w:start w:val="1"/>
      <w:numFmt w:val="bullet"/>
      <w:lvlText w:val=""/>
      <w:lvlJc w:val="left"/>
      <w:pPr>
        <w:ind w:left="6780" w:hanging="360"/>
      </w:pPr>
      <w:rPr>
        <w:rFonts w:ascii="Wingdings" w:hAnsi="Wingdings" w:hint="default"/>
      </w:rPr>
    </w:lvl>
  </w:abstractNum>
  <w:abstractNum w:abstractNumId="8" w15:restartNumberingAfterBreak="0">
    <w:nsid w:val="1C5358B2"/>
    <w:multiLevelType w:val="hybridMultilevel"/>
    <w:tmpl w:val="3F60C074"/>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C621BA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515CD8"/>
    <w:multiLevelType w:val="hybridMultilevel"/>
    <w:tmpl w:val="38801660"/>
    <w:lvl w:ilvl="0" w:tplc="C1BA91B6">
      <w:start w:val="2"/>
      <w:numFmt w:val="decimal"/>
      <w:lvlText w:val="%1."/>
      <w:lvlJc w:val="left"/>
      <w:pPr>
        <w:ind w:left="644" w:hanging="360"/>
      </w:pPr>
      <w:rPr>
        <w:rFonts w:hint="default"/>
        <w:b/>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1" w15:restartNumberingAfterBreak="0">
    <w:nsid w:val="25BB3E3F"/>
    <w:multiLevelType w:val="hybridMultilevel"/>
    <w:tmpl w:val="DD86F628"/>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2" w15:restartNumberingAfterBreak="0">
    <w:nsid w:val="32553366"/>
    <w:multiLevelType w:val="hybridMultilevel"/>
    <w:tmpl w:val="224C413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76840FB"/>
    <w:multiLevelType w:val="hybridMultilevel"/>
    <w:tmpl w:val="E2905D54"/>
    <w:lvl w:ilvl="0" w:tplc="04260011">
      <w:start w:val="1"/>
      <w:numFmt w:val="decimal"/>
      <w:lvlText w:val="%1)"/>
      <w:lvlJc w:val="left"/>
      <w:pPr>
        <w:ind w:left="418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7FF6C96"/>
    <w:multiLevelType w:val="hybridMultilevel"/>
    <w:tmpl w:val="5DC240BC"/>
    <w:lvl w:ilvl="0" w:tplc="420060EA">
      <w:start w:val="6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B990ADC"/>
    <w:multiLevelType w:val="hybridMultilevel"/>
    <w:tmpl w:val="C5D4D258"/>
    <w:lvl w:ilvl="0" w:tplc="04260011">
      <w:start w:val="1"/>
      <w:numFmt w:val="decimal"/>
      <w:lvlText w:val="%1)"/>
      <w:lvlJc w:val="left"/>
      <w:pPr>
        <w:ind w:left="1301" w:hanging="360"/>
      </w:pPr>
    </w:lvl>
    <w:lvl w:ilvl="1" w:tplc="04260019" w:tentative="1">
      <w:start w:val="1"/>
      <w:numFmt w:val="lowerLetter"/>
      <w:lvlText w:val="%2."/>
      <w:lvlJc w:val="left"/>
      <w:pPr>
        <w:ind w:left="2021" w:hanging="360"/>
      </w:pPr>
    </w:lvl>
    <w:lvl w:ilvl="2" w:tplc="0426001B" w:tentative="1">
      <w:start w:val="1"/>
      <w:numFmt w:val="lowerRoman"/>
      <w:lvlText w:val="%3."/>
      <w:lvlJc w:val="right"/>
      <w:pPr>
        <w:ind w:left="2741" w:hanging="180"/>
      </w:pPr>
    </w:lvl>
    <w:lvl w:ilvl="3" w:tplc="0426000F" w:tentative="1">
      <w:start w:val="1"/>
      <w:numFmt w:val="decimal"/>
      <w:lvlText w:val="%4."/>
      <w:lvlJc w:val="left"/>
      <w:pPr>
        <w:ind w:left="3461" w:hanging="360"/>
      </w:pPr>
    </w:lvl>
    <w:lvl w:ilvl="4" w:tplc="04260019" w:tentative="1">
      <w:start w:val="1"/>
      <w:numFmt w:val="lowerLetter"/>
      <w:lvlText w:val="%5."/>
      <w:lvlJc w:val="left"/>
      <w:pPr>
        <w:ind w:left="4181" w:hanging="360"/>
      </w:pPr>
    </w:lvl>
    <w:lvl w:ilvl="5" w:tplc="0426001B" w:tentative="1">
      <w:start w:val="1"/>
      <w:numFmt w:val="lowerRoman"/>
      <w:lvlText w:val="%6."/>
      <w:lvlJc w:val="right"/>
      <w:pPr>
        <w:ind w:left="4901" w:hanging="180"/>
      </w:pPr>
    </w:lvl>
    <w:lvl w:ilvl="6" w:tplc="0426000F" w:tentative="1">
      <w:start w:val="1"/>
      <w:numFmt w:val="decimal"/>
      <w:lvlText w:val="%7."/>
      <w:lvlJc w:val="left"/>
      <w:pPr>
        <w:ind w:left="5621" w:hanging="360"/>
      </w:pPr>
    </w:lvl>
    <w:lvl w:ilvl="7" w:tplc="04260019" w:tentative="1">
      <w:start w:val="1"/>
      <w:numFmt w:val="lowerLetter"/>
      <w:lvlText w:val="%8."/>
      <w:lvlJc w:val="left"/>
      <w:pPr>
        <w:ind w:left="6341" w:hanging="360"/>
      </w:pPr>
    </w:lvl>
    <w:lvl w:ilvl="8" w:tplc="0426001B" w:tentative="1">
      <w:start w:val="1"/>
      <w:numFmt w:val="lowerRoman"/>
      <w:lvlText w:val="%9."/>
      <w:lvlJc w:val="right"/>
      <w:pPr>
        <w:ind w:left="7061" w:hanging="180"/>
      </w:pPr>
    </w:lvl>
  </w:abstractNum>
  <w:abstractNum w:abstractNumId="16" w15:restartNumberingAfterBreak="0">
    <w:nsid w:val="4B9D7E55"/>
    <w:multiLevelType w:val="hybridMultilevel"/>
    <w:tmpl w:val="E5F477D4"/>
    <w:lvl w:ilvl="0" w:tplc="1310A330">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FDE452D"/>
    <w:multiLevelType w:val="hybridMultilevel"/>
    <w:tmpl w:val="AE1ABF5E"/>
    <w:lvl w:ilvl="0" w:tplc="6CCAE58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0225BBA"/>
    <w:multiLevelType w:val="hybridMultilevel"/>
    <w:tmpl w:val="F03E09F6"/>
    <w:lvl w:ilvl="0" w:tplc="F37A2668">
      <w:numFmt w:val="bullet"/>
      <w:lvlText w:val="-"/>
      <w:lvlJc w:val="left"/>
      <w:pPr>
        <w:ind w:left="336" w:hanging="360"/>
      </w:pPr>
      <w:rPr>
        <w:rFonts w:ascii="Times New Roman" w:eastAsia="Times New Roman" w:hAnsi="Times New Roman" w:cs="Times New Roman" w:hint="default"/>
        <w:sz w:val="18"/>
      </w:rPr>
    </w:lvl>
    <w:lvl w:ilvl="1" w:tplc="04260003" w:tentative="1">
      <w:start w:val="1"/>
      <w:numFmt w:val="bullet"/>
      <w:lvlText w:val="o"/>
      <w:lvlJc w:val="left"/>
      <w:pPr>
        <w:ind w:left="1056" w:hanging="360"/>
      </w:pPr>
      <w:rPr>
        <w:rFonts w:ascii="Courier New" w:hAnsi="Courier New" w:cs="Courier New" w:hint="default"/>
      </w:rPr>
    </w:lvl>
    <w:lvl w:ilvl="2" w:tplc="04260005" w:tentative="1">
      <w:start w:val="1"/>
      <w:numFmt w:val="bullet"/>
      <w:lvlText w:val=""/>
      <w:lvlJc w:val="left"/>
      <w:pPr>
        <w:ind w:left="1776" w:hanging="360"/>
      </w:pPr>
      <w:rPr>
        <w:rFonts w:ascii="Wingdings" w:hAnsi="Wingdings" w:hint="default"/>
      </w:rPr>
    </w:lvl>
    <w:lvl w:ilvl="3" w:tplc="04260001" w:tentative="1">
      <w:start w:val="1"/>
      <w:numFmt w:val="bullet"/>
      <w:lvlText w:val=""/>
      <w:lvlJc w:val="left"/>
      <w:pPr>
        <w:ind w:left="2496" w:hanging="360"/>
      </w:pPr>
      <w:rPr>
        <w:rFonts w:ascii="Symbol" w:hAnsi="Symbol" w:hint="default"/>
      </w:rPr>
    </w:lvl>
    <w:lvl w:ilvl="4" w:tplc="04260003" w:tentative="1">
      <w:start w:val="1"/>
      <w:numFmt w:val="bullet"/>
      <w:lvlText w:val="o"/>
      <w:lvlJc w:val="left"/>
      <w:pPr>
        <w:ind w:left="3216" w:hanging="360"/>
      </w:pPr>
      <w:rPr>
        <w:rFonts w:ascii="Courier New" w:hAnsi="Courier New" w:cs="Courier New" w:hint="default"/>
      </w:rPr>
    </w:lvl>
    <w:lvl w:ilvl="5" w:tplc="04260005" w:tentative="1">
      <w:start w:val="1"/>
      <w:numFmt w:val="bullet"/>
      <w:lvlText w:val=""/>
      <w:lvlJc w:val="left"/>
      <w:pPr>
        <w:ind w:left="3936" w:hanging="360"/>
      </w:pPr>
      <w:rPr>
        <w:rFonts w:ascii="Wingdings" w:hAnsi="Wingdings" w:hint="default"/>
      </w:rPr>
    </w:lvl>
    <w:lvl w:ilvl="6" w:tplc="04260001" w:tentative="1">
      <w:start w:val="1"/>
      <w:numFmt w:val="bullet"/>
      <w:lvlText w:val=""/>
      <w:lvlJc w:val="left"/>
      <w:pPr>
        <w:ind w:left="4656" w:hanging="360"/>
      </w:pPr>
      <w:rPr>
        <w:rFonts w:ascii="Symbol" w:hAnsi="Symbol" w:hint="default"/>
      </w:rPr>
    </w:lvl>
    <w:lvl w:ilvl="7" w:tplc="04260003" w:tentative="1">
      <w:start w:val="1"/>
      <w:numFmt w:val="bullet"/>
      <w:lvlText w:val="o"/>
      <w:lvlJc w:val="left"/>
      <w:pPr>
        <w:ind w:left="5376" w:hanging="360"/>
      </w:pPr>
      <w:rPr>
        <w:rFonts w:ascii="Courier New" w:hAnsi="Courier New" w:cs="Courier New" w:hint="default"/>
      </w:rPr>
    </w:lvl>
    <w:lvl w:ilvl="8" w:tplc="04260005" w:tentative="1">
      <w:start w:val="1"/>
      <w:numFmt w:val="bullet"/>
      <w:lvlText w:val=""/>
      <w:lvlJc w:val="left"/>
      <w:pPr>
        <w:ind w:left="6096" w:hanging="360"/>
      </w:pPr>
      <w:rPr>
        <w:rFonts w:ascii="Wingdings" w:hAnsi="Wingdings" w:hint="default"/>
      </w:rPr>
    </w:lvl>
  </w:abstractNum>
  <w:abstractNum w:abstractNumId="19" w15:restartNumberingAfterBreak="0">
    <w:nsid w:val="53D56A05"/>
    <w:multiLevelType w:val="hybridMultilevel"/>
    <w:tmpl w:val="9A7C2DDE"/>
    <w:lvl w:ilvl="0" w:tplc="5CD61220">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0" w15:restartNumberingAfterBreak="0">
    <w:nsid w:val="54660A86"/>
    <w:multiLevelType w:val="hybridMultilevel"/>
    <w:tmpl w:val="B366CA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1">
    <w:nsid w:val="5AD02DE2"/>
    <w:multiLevelType w:val="hybridMultilevel"/>
    <w:tmpl w:val="2050190E"/>
    <w:lvl w:ilvl="0" w:tplc="4E081DF6">
      <w:numFmt w:val="bullet"/>
      <w:lvlText w:val="-"/>
      <w:lvlJc w:val="left"/>
      <w:pPr>
        <w:ind w:left="435" w:hanging="360"/>
      </w:pPr>
      <w:rPr>
        <w:rFonts w:ascii="Verdana" w:eastAsia="Calibri" w:hAnsi="Verdana" w:cs="Calibri" w:hint="default"/>
        <w:color w:val="44546A"/>
      </w:rPr>
    </w:lvl>
    <w:lvl w:ilvl="1" w:tplc="BFE662A4">
      <w:start w:val="1"/>
      <w:numFmt w:val="bullet"/>
      <w:lvlText w:val="o"/>
      <w:lvlJc w:val="left"/>
      <w:pPr>
        <w:ind w:left="1155" w:hanging="360"/>
      </w:pPr>
      <w:rPr>
        <w:rFonts w:ascii="Courier New" w:hAnsi="Courier New" w:cs="Courier New" w:hint="default"/>
      </w:rPr>
    </w:lvl>
    <w:lvl w:ilvl="2" w:tplc="B0C287E8">
      <w:start w:val="1"/>
      <w:numFmt w:val="bullet"/>
      <w:lvlText w:val=""/>
      <w:lvlJc w:val="left"/>
      <w:pPr>
        <w:ind w:left="1875" w:hanging="360"/>
      </w:pPr>
      <w:rPr>
        <w:rFonts w:ascii="Wingdings" w:hAnsi="Wingdings" w:hint="default"/>
      </w:rPr>
    </w:lvl>
    <w:lvl w:ilvl="3" w:tplc="2E500A96">
      <w:start w:val="1"/>
      <w:numFmt w:val="bullet"/>
      <w:lvlText w:val=""/>
      <w:lvlJc w:val="left"/>
      <w:pPr>
        <w:ind w:left="2595" w:hanging="360"/>
      </w:pPr>
      <w:rPr>
        <w:rFonts w:ascii="Symbol" w:hAnsi="Symbol" w:hint="default"/>
      </w:rPr>
    </w:lvl>
    <w:lvl w:ilvl="4" w:tplc="78AE3D38">
      <w:start w:val="1"/>
      <w:numFmt w:val="bullet"/>
      <w:lvlText w:val="o"/>
      <w:lvlJc w:val="left"/>
      <w:pPr>
        <w:ind w:left="3315" w:hanging="360"/>
      </w:pPr>
      <w:rPr>
        <w:rFonts w:ascii="Courier New" w:hAnsi="Courier New" w:cs="Courier New" w:hint="default"/>
      </w:rPr>
    </w:lvl>
    <w:lvl w:ilvl="5" w:tplc="1EFADB66">
      <w:start w:val="1"/>
      <w:numFmt w:val="bullet"/>
      <w:lvlText w:val=""/>
      <w:lvlJc w:val="left"/>
      <w:pPr>
        <w:ind w:left="4035" w:hanging="360"/>
      </w:pPr>
      <w:rPr>
        <w:rFonts w:ascii="Wingdings" w:hAnsi="Wingdings" w:hint="default"/>
      </w:rPr>
    </w:lvl>
    <w:lvl w:ilvl="6" w:tplc="9BCA2044">
      <w:start w:val="1"/>
      <w:numFmt w:val="bullet"/>
      <w:lvlText w:val=""/>
      <w:lvlJc w:val="left"/>
      <w:pPr>
        <w:ind w:left="4755" w:hanging="360"/>
      </w:pPr>
      <w:rPr>
        <w:rFonts w:ascii="Symbol" w:hAnsi="Symbol" w:hint="default"/>
      </w:rPr>
    </w:lvl>
    <w:lvl w:ilvl="7" w:tplc="2C52BC5A">
      <w:start w:val="1"/>
      <w:numFmt w:val="bullet"/>
      <w:lvlText w:val="o"/>
      <w:lvlJc w:val="left"/>
      <w:pPr>
        <w:ind w:left="5475" w:hanging="360"/>
      </w:pPr>
      <w:rPr>
        <w:rFonts w:ascii="Courier New" w:hAnsi="Courier New" w:cs="Courier New" w:hint="default"/>
      </w:rPr>
    </w:lvl>
    <w:lvl w:ilvl="8" w:tplc="4FFAA112">
      <w:start w:val="1"/>
      <w:numFmt w:val="bullet"/>
      <w:lvlText w:val=""/>
      <w:lvlJc w:val="left"/>
      <w:pPr>
        <w:ind w:left="6195" w:hanging="360"/>
      </w:pPr>
      <w:rPr>
        <w:rFonts w:ascii="Wingdings" w:hAnsi="Wingdings" w:hint="default"/>
      </w:rPr>
    </w:lvl>
  </w:abstractNum>
  <w:abstractNum w:abstractNumId="22" w15:restartNumberingAfterBreak="0">
    <w:nsid w:val="659B2B74"/>
    <w:multiLevelType w:val="hybridMultilevel"/>
    <w:tmpl w:val="44781BE4"/>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BD10B66"/>
    <w:multiLevelType w:val="hybridMultilevel"/>
    <w:tmpl w:val="2CBA4E3E"/>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D57702F"/>
    <w:multiLevelType w:val="hybridMultilevel"/>
    <w:tmpl w:val="F1527AFE"/>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5" w15:restartNumberingAfterBreak="0">
    <w:nsid w:val="723231E8"/>
    <w:multiLevelType w:val="hybridMultilevel"/>
    <w:tmpl w:val="19E82AE6"/>
    <w:lvl w:ilvl="0" w:tplc="9DE4DDA2">
      <w:start w:val="1"/>
      <w:numFmt w:val="bullet"/>
      <w:lvlText w:val="-"/>
      <w:lvlJc w:val="left"/>
      <w:pPr>
        <w:ind w:left="336" w:hanging="360"/>
      </w:pPr>
      <w:rPr>
        <w:rFonts w:ascii="Times New Roman" w:eastAsia="Times New Roman" w:hAnsi="Times New Roman" w:cs="Times New Roman" w:hint="default"/>
        <w:sz w:val="18"/>
      </w:rPr>
    </w:lvl>
    <w:lvl w:ilvl="1" w:tplc="04260003" w:tentative="1">
      <w:start w:val="1"/>
      <w:numFmt w:val="bullet"/>
      <w:lvlText w:val="o"/>
      <w:lvlJc w:val="left"/>
      <w:pPr>
        <w:ind w:left="1056" w:hanging="360"/>
      </w:pPr>
      <w:rPr>
        <w:rFonts w:ascii="Courier New" w:hAnsi="Courier New" w:cs="Courier New" w:hint="default"/>
      </w:rPr>
    </w:lvl>
    <w:lvl w:ilvl="2" w:tplc="04260005" w:tentative="1">
      <w:start w:val="1"/>
      <w:numFmt w:val="bullet"/>
      <w:lvlText w:val=""/>
      <w:lvlJc w:val="left"/>
      <w:pPr>
        <w:ind w:left="1776" w:hanging="360"/>
      </w:pPr>
      <w:rPr>
        <w:rFonts w:ascii="Wingdings" w:hAnsi="Wingdings" w:hint="default"/>
      </w:rPr>
    </w:lvl>
    <w:lvl w:ilvl="3" w:tplc="04260001" w:tentative="1">
      <w:start w:val="1"/>
      <w:numFmt w:val="bullet"/>
      <w:lvlText w:val=""/>
      <w:lvlJc w:val="left"/>
      <w:pPr>
        <w:ind w:left="2496" w:hanging="360"/>
      </w:pPr>
      <w:rPr>
        <w:rFonts w:ascii="Symbol" w:hAnsi="Symbol" w:hint="default"/>
      </w:rPr>
    </w:lvl>
    <w:lvl w:ilvl="4" w:tplc="04260003" w:tentative="1">
      <w:start w:val="1"/>
      <w:numFmt w:val="bullet"/>
      <w:lvlText w:val="o"/>
      <w:lvlJc w:val="left"/>
      <w:pPr>
        <w:ind w:left="3216" w:hanging="360"/>
      </w:pPr>
      <w:rPr>
        <w:rFonts w:ascii="Courier New" w:hAnsi="Courier New" w:cs="Courier New" w:hint="default"/>
      </w:rPr>
    </w:lvl>
    <w:lvl w:ilvl="5" w:tplc="04260005" w:tentative="1">
      <w:start w:val="1"/>
      <w:numFmt w:val="bullet"/>
      <w:lvlText w:val=""/>
      <w:lvlJc w:val="left"/>
      <w:pPr>
        <w:ind w:left="3936" w:hanging="360"/>
      </w:pPr>
      <w:rPr>
        <w:rFonts w:ascii="Wingdings" w:hAnsi="Wingdings" w:hint="default"/>
      </w:rPr>
    </w:lvl>
    <w:lvl w:ilvl="6" w:tplc="04260001" w:tentative="1">
      <w:start w:val="1"/>
      <w:numFmt w:val="bullet"/>
      <w:lvlText w:val=""/>
      <w:lvlJc w:val="left"/>
      <w:pPr>
        <w:ind w:left="4656" w:hanging="360"/>
      </w:pPr>
      <w:rPr>
        <w:rFonts w:ascii="Symbol" w:hAnsi="Symbol" w:hint="default"/>
      </w:rPr>
    </w:lvl>
    <w:lvl w:ilvl="7" w:tplc="04260003" w:tentative="1">
      <w:start w:val="1"/>
      <w:numFmt w:val="bullet"/>
      <w:lvlText w:val="o"/>
      <w:lvlJc w:val="left"/>
      <w:pPr>
        <w:ind w:left="5376" w:hanging="360"/>
      </w:pPr>
      <w:rPr>
        <w:rFonts w:ascii="Courier New" w:hAnsi="Courier New" w:cs="Courier New" w:hint="default"/>
      </w:rPr>
    </w:lvl>
    <w:lvl w:ilvl="8" w:tplc="04260005" w:tentative="1">
      <w:start w:val="1"/>
      <w:numFmt w:val="bullet"/>
      <w:lvlText w:val=""/>
      <w:lvlJc w:val="left"/>
      <w:pPr>
        <w:ind w:left="6096" w:hanging="360"/>
      </w:pPr>
      <w:rPr>
        <w:rFonts w:ascii="Wingdings" w:hAnsi="Wingdings" w:hint="default"/>
      </w:rPr>
    </w:lvl>
  </w:abstractNum>
  <w:num w:numId="1">
    <w:abstractNumId w:val="9"/>
  </w:num>
  <w:num w:numId="2">
    <w:abstractNumId w:val="24"/>
  </w:num>
  <w:num w:numId="3">
    <w:abstractNumId w:val="12"/>
  </w:num>
  <w:num w:numId="4">
    <w:abstractNumId w:val="13"/>
  </w:num>
  <w:num w:numId="5">
    <w:abstractNumId w:val="22"/>
  </w:num>
  <w:num w:numId="6">
    <w:abstractNumId w:val="8"/>
  </w:num>
  <w:num w:numId="7">
    <w:abstractNumId w:val="4"/>
  </w:num>
  <w:num w:numId="8">
    <w:abstractNumId w:val="21"/>
  </w:num>
  <w:num w:numId="9">
    <w:abstractNumId w:val="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0"/>
  </w:num>
  <w:num w:numId="13">
    <w:abstractNumId w:val="14"/>
  </w:num>
  <w:num w:numId="14">
    <w:abstractNumId w:val="18"/>
  </w:num>
  <w:num w:numId="15">
    <w:abstractNumId w:val="25"/>
  </w:num>
  <w:num w:numId="16">
    <w:abstractNumId w:val="15"/>
  </w:num>
  <w:num w:numId="17">
    <w:abstractNumId w:val="2"/>
  </w:num>
  <w:num w:numId="18">
    <w:abstractNumId w:val="7"/>
  </w:num>
  <w:num w:numId="19">
    <w:abstractNumId w:val="11"/>
  </w:num>
  <w:num w:numId="20">
    <w:abstractNumId w:val="16"/>
  </w:num>
  <w:num w:numId="21">
    <w:abstractNumId w:val="17"/>
  </w:num>
  <w:num w:numId="22">
    <w:abstractNumId w:val="19"/>
  </w:num>
  <w:num w:numId="23">
    <w:abstractNumId w:val="23"/>
  </w:num>
  <w:num w:numId="24">
    <w:abstractNumId w:val="10"/>
  </w:num>
  <w:num w:numId="25">
    <w:abstractNumId w:val="6"/>
  </w:num>
  <w:num w:numId="26">
    <w:abstractNumId w:val="1"/>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defaultTabStop w:val="720"/>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588"/>
    <w:rsid w:val="00005EE0"/>
    <w:rsid w:val="00006048"/>
    <w:rsid w:val="00007DAE"/>
    <w:rsid w:val="00011411"/>
    <w:rsid w:val="00013003"/>
    <w:rsid w:val="000155E9"/>
    <w:rsid w:val="000200F4"/>
    <w:rsid w:val="000202DF"/>
    <w:rsid w:val="00020308"/>
    <w:rsid w:val="00021F0B"/>
    <w:rsid w:val="00022CC2"/>
    <w:rsid w:val="0002409B"/>
    <w:rsid w:val="000248A4"/>
    <w:rsid w:val="00024A31"/>
    <w:rsid w:val="00025604"/>
    <w:rsid w:val="000313C7"/>
    <w:rsid w:val="00032750"/>
    <w:rsid w:val="00032B81"/>
    <w:rsid w:val="00032BD5"/>
    <w:rsid w:val="00033277"/>
    <w:rsid w:val="00033A9D"/>
    <w:rsid w:val="00034518"/>
    <w:rsid w:val="000345DF"/>
    <w:rsid w:val="0003532B"/>
    <w:rsid w:val="00037A27"/>
    <w:rsid w:val="00037E10"/>
    <w:rsid w:val="0004090D"/>
    <w:rsid w:val="00042DA4"/>
    <w:rsid w:val="0004563E"/>
    <w:rsid w:val="00045D58"/>
    <w:rsid w:val="0004691D"/>
    <w:rsid w:val="00047983"/>
    <w:rsid w:val="000509AE"/>
    <w:rsid w:val="000514FD"/>
    <w:rsid w:val="0005278D"/>
    <w:rsid w:val="00052AB4"/>
    <w:rsid w:val="000534A1"/>
    <w:rsid w:val="0005388A"/>
    <w:rsid w:val="00054063"/>
    <w:rsid w:val="0005410C"/>
    <w:rsid w:val="00056020"/>
    <w:rsid w:val="0006078E"/>
    <w:rsid w:val="00060D6E"/>
    <w:rsid w:val="00061558"/>
    <w:rsid w:val="000619B9"/>
    <w:rsid w:val="00062A1B"/>
    <w:rsid w:val="0006648C"/>
    <w:rsid w:val="0006654C"/>
    <w:rsid w:val="000675F1"/>
    <w:rsid w:val="00070F98"/>
    <w:rsid w:val="000717CB"/>
    <w:rsid w:val="000733F4"/>
    <w:rsid w:val="00074985"/>
    <w:rsid w:val="0007727D"/>
    <w:rsid w:val="0007735B"/>
    <w:rsid w:val="0007784B"/>
    <w:rsid w:val="00077E24"/>
    <w:rsid w:val="00080C1E"/>
    <w:rsid w:val="0008116A"/>
    <w:rsid w:val="00083B07"/>
    <w:rsid w:val="00084C36"/>
    <w:rsid w:val="00090D31"/>
    <w:rsid w:val="0009200A"/>
    <w:rsid w:val="000928FD"/>
    <w:rsid w:val="00094CE5"/>
    <w:rsid w:val="0009693C"/>
    <w:rsid w:val="000A0490"/>
    <w:rsid w:val="000A3C74"/>
    <w:rsid w:val="000A3FBD"/>
    <w:rsid w:val="000A6BBC"/>
    <w:rsid w:val="000B2357"/>
    <w:rsid w:val="000B2D29"/>
    <w:rsid w:val="000B35BE"/>
    <w:rsid w:val="000B5661"/>
    <w:rsid w:val="000B7A96"/>
    <w:rsid w:val="000C01F9"/>
    <w:rsid w:val="000C16B6"/>
    <w:rsid w:val="000C4286"/>
    <w:rsid w:val="000C4C70"/>
    <w:rsid w:val="000C525D"/>
    <w:rsid w:val="000C5394"/>
    <w:rsid w:val="000D06F6"/>
    <w:rsid w:val="000D0BE7"/>
    <w:rsid w:val="000D21D7"/>
    <w:rsid w:val="000E6150"/>
    <w:rsid w:val="000E62A2"/>
    <w:rsid w:val="000E6902"/>
    <w:rsid w:val="000E6D37"/>
    <w:rsid w:val="000E7761"/>
    <w:rsid w:val="000F02CC"/>
    <w:rsid w:val="000F3FE8"/>
    <w:rsid w:val="00101951"/>
    <w:rsid w:val="0010240C"/>
    <w:rsid w:val="00102A1B"/>
    <w:rsid w:val="00103FFF"/>
    <w:rsid w:val="00107E61"/>
    <w:rsid w:val="0011002E"/>
    <w:rsid w:val="00110A95"/>
    <w:rsid w:val="00110C94"/>
    <w:rsid w:val="00111E95"/>
    <w:rsid w:val="00113265"/>
    <w:rsid w:val="001134C3"/>
    <w:rsid w:val="001169A1"/>
    <w:rsid w:val="0012060E"/>
    <w:rsid w:val="00120C69"/>
    <w:rsid w:val="00122EEB"/>
    <w:rsid w:val="00124407"/>
    <w:rsid w:val="001245BB"/>
    <w:rsid w:val="00125686"/>
    <w:rsid w:val="0013157C"/>
    <w:rsid w:val="00136A83"/>
    <w:rsid w:val="00136F9D"/>
    <w:rsid w:val="001411BA"/>
    <w:rsid w:val="0014204D"/>
    <w:rsid w:val="00144291"/>
    <w:rsid w:val="001447CB"/>
    <w:rsid w:val="001451D7"/>
    <w:rsid w:val="001461DA"/>
    <w:rsid w:val="001505BC"/>
    <w:rsid w:val="0015377A"/>
    <w:rsid w:val="00155043"/>
    <w:rsid w:val="0015587C"/>
    <w:rsid w:val="0016021E"/>
    <w:rsid w:val="001609A9"/>
    <w:rsid w:val="0016477B"/>
    <w:rsid w:val="00164CCB"/>
    <w:rsid w:val="00167FC0"/>
    <w:rsid w:val="001703F6"/>
    <w:rsid w:val="00170835"/>
    <w:rsid w:val="00173C62"/>
    <w:rsid w:val="00176B5D"/>
    <w:rsid w:val="00181D11"/>
    <w:rsid w:val="00186C70"/>
    <w:rsid w:val="00192784"/>
    <w:rsid w:val="00193266"/>
    <w:rsid w:val="00194CD7"/>
    <w:rsid w:val="0019700D"/>
    <w:rsid w:val="0019719A"/>
    <w:rsid w:val="001A0BFE"/>
    <w:rsid w:val="001A1078"/>
    <w:rsid w:val="001A2B8B"/>
    <w:rsid w:val="001A3685"/>
    <w:rsid w:val="001A5B85"/>
    <w:rsid w:val="001A6A5B"/>
    <w:rsid w:val="001A7298"/>
    <w:rsid w:val="001A7495"/>
    <w:rsid w:val="001B07FA"/>
    <w:rsid w:val="001B1BAF"/>
    <w:rsid w:val="001B49EC"/>
    <w:rsid w:val="001B6A20"/>
    <w:rsid w:val="001B705B"/>
    <w:rsid w:val="001B7392"/>
    <w:rsid w:val="001C00E1"/>
    <w:rsid w:val="001C2B45"/>
    <w:rsid w:val="001C2E69"/>
    <w:rsid w:val="001C4776"/>
    <w:rsid w:val="001C6D55"/>
    <w:rsid w:val="001C7679"/>
    <w:rsid w:val="001D1E3A"/>
    <w:rsid w:val="001D24A2"/>
    <w:rsid w:val="001D4AFC"/>
    <w:rsid w:val="001D5719"/>
    <w:rsid w:val="001D59CE"/>
    <w:rsid w:val="001D65A5"/>
    <w:rsid w:val="001E1A8C"/>
    <w:rsid w:val="001E2776"/>
    <w:rsid w:val="001E4F19"/>
    <w:rsid w:val="001E5156"/>
    <w:rsid w:val="001E5AC8"/>
    <w:rsid w:val="001E67C6"/>
    <w:rsid w:val="001F0ADE"/>
    <w:rsid w:val="001F1905"/>
    <w:rsid w:val="001F1E2A"/>
    <w:rsid w:val="001F53EA"/>
    <w:rsid w:val="001F5F1E"/>
    <w:rsid w:val="00201A82"/>
    <w:rsid w:val="00201F7F"/>
    <w:rsid w:val="00202A08"/>
    <w:rsid w:val="0020455A"/>
    <w:rsid w:val="00205209"/>
    <w:rsid w:val="00205F79"/>
    <w:rsid w:val="00210288"/>
    <w:rsid w:val="00212CF6"/>
    <w:rsid w:val="00212E8D"/>
    <w:rsid w:val="00213D19"/>
    <w:rsid w:val="0022457E"/>
    <w:rsid w:val="00224C68"/>
    <w:rsid w:val="0022550F"/>
    <w:rsid w:val="002257D6"/>
    <w:rsid w:val="002266AA"/>
    <w:rsid w:val="00227499"/>
    <w:rsid w:val="00231947"/>
    <w:rsid w:val="00232A19"/>
    <w:rsid w:val="002351BC"/>
    <w:rsid w:val="00235FA9"/>
    <w:rsid w:val="002405FA"/>
    <w:rsid w:val="002410AE"/>
    <w:rsid w:val="00246CC6"/>
    <w:rsid w:val="0024766E"/>
    <w:rsid w:val="002478F2"/>
    <w:rsid w:val="002503A2"/>
    <w:rsid w:val="00251477"/>
    <w:rsid w:val="002524F3"/>
    <w:rsid w:val="002570A3"/>
    <w:rsid w:val="00262AD5"/>
    <w:rsid w:val="0026357F"/>
    <w:rsid w:val="00267729"/>
    <w:rsid w:val="00267F31"/>
    <w:rsid w:val="00270D65"/>
    <w:rsid w:val="002718AA"/>
    <w:rsid w:val="00275DAC"/>
    <w:rsid w:val="00281127"/>
    <w:rsid w:val="00282E13"/>
    <w:rsid w:val="00287082"/>
    <w:rsid w:val="0028789E"/>
    <w:rsid w:val="00287DD1"/>
    <w:rsid w:val="00287DDF"/>
    <w:rsid w:val="00293C69"/>
    <w:rsid w:val="002946DB"/>
    <w:rsid w:val="002958FB"/>
    <w:rsid w:val="002A0C4E"/>
    <w:rsid w:val="002A0C8C"/>
    <w:rsid w:val="002A3FAE"/>
    <w:rsid w:val="002A440A"/>
    <w:rsid w:val="002A774F"/>
    <w:rsid w:val="002B00BA"/>
    <w:rsid w:val="002B0D68"/>
    <w:rsid w:val="002B0E56"/>
    <w:rsid w:val="002B1168"/>
    <w:rsid w:val="002B393D"/>
    <w:rsid w:val="002B71EB"/>
    <w:rsid w:val="002C1C7A"/>
    <w:rsid w:val="002C2564"/>
    <w:rsid w:val="002C3563"/>
    <w:rsid w:val="002C432D"/>
    <w:rsid w:val="002C6BCC"/>
    <w:rsid w:val="002C7221"/>
    <w:rsid w:val="002C79BB"/>
    <w:rsid w:val="002C7C93"/>
    <w:rsid w:val="002D0D83"/>
    <w:rsid w:val="002D0E63"/>
    <w:rsid w:val="002D1B9E"/>
    <w:rsid w:val="002D1F0A"/>
    <w:rsid w:val="002D4656"/>
    <w:rsid w:val="002D4FC8"/>
    <w:rsid w:val="002D7687"/>
    <w:rsid w:val="002E0E3E"/>
    <w:rsid w:val="002E266B"/>
    <w:rsid w:val="002E3D19"/>
    <w:rsid w:val="002E62DC"/>
    <w:rsid w:val="002E7256"/>
    <w:rsid w:val="002E7393"/>
    <w:rsid w:val="002F0075"/>
    <w:rsid w:val="002F1692"/>
    <w:rsid w:val="002F1B0D"/>
    <w:rsid w:val="002F2AC0"/>
    <w:rsid w:val="002F2FFB"/>
    <w:rsid w:val="00301EC6"/>
    <w:rsid w:val="003039AC"/>
    <w:rsid w:val="00303A1D"/>
    <w:rsid w:val="00304B0B"/>
    <w:rsid w:val="00306063"/>
    <w:rsid w:val="003067F0"/>
    <w:rsid w:val="00310D23"/>
    <w:rsid w:val="00310DDA"/>
    <w:rsid w:val="00313CD0"/>
    <w:rsid w:val="00314AE9"/>
    <w:rsid w:val="003154CD"/>
    <w:rsid w:val="003178F0"/>
    <w:rsid w:val="00321F4F"/>
    <w:rsid w:val="0032585A"/>
    <w:rsid w:val="003260FC"/>
    <w:rsid w:val="00331C69"/>
    <w:rsid w:val="00335DD7"/>
    <w:rsid w:val="00345DB4"/>
    <w:rsid w:val="0034731D"/>
    <w:rsid w:val="00351CC8"/>
    <w:rsid w:val="00351EBF"/>
    <w:rsid w:val="00354040"/>
    <w:rsid w:val="00361099"/>
    <w:rsid w:val="00361B15"/>
    <w:rsid w:val="00363C76"/>
    <w:rsid w:val="00365316"/>
    <w:rsid w:val="0036628E"/>
    <w:rsid w:val="003706D1"/>
    <w:rsid w:val="00371F0A"/>
    <w:rsid w:val="003746B1"/>
    <w:rsid w:val="00376A2C"/>
    <w:rsid w:val="00380000"/>
    <w:rsid w:val="00384144"/>
    <w:rsid w:val="00384768"/>
    <w:rsid w:val="00385BC3"/>
    <w:rsid w:val="003877D2"/>
    <w:rsid w:val="00387BE6"/>
    <w:rsid w:val="00391C27"/>
    <w:rsid w:val="003937EE"/>
    <w:rsid w:val="003A1C41"/>
    <w:rsid w:val="003A3C53"/>
    <w:rsid w:val="003A5E7D"/>
    <w:rsid w:val="003A7B04"/>
    <w:rsid w:val="003A7CB8"/>
    <w:rsid w:val="003B0EC3"/>
    <w:rsid w:val="003B1931"/>
    <w:rsid w:val="003B260E"/>
    <w:rsid w:val="003B2704"/>
    <w:rsid w:val="003B3708"/>
    <w:rsid w:val="003B4207"/>
    <w:rsid w:val="003C032D"/>
    <w:rsid w:val="003C0685"/>
    <w:rsid w:val="003C5EDC"/>
    <w:rsid w:val="003C6C54"/>
    <w:rsid w:val="003D0C21"/>
    <w:rsid w:val="003D1F48"/>
    <w:rsid w:val="003D32D2"/>
    <w:rsid w:val="003D5111"/>
    <w:rsid w:val="003D5965"/>
    <w:rsid w:val="003E0248"/>
    <w:rsid w:val="003E5E54"/>
    <w:rsid w:val="003F0723"/>
    <w:rsid w:val="003F0C50"/>
    <w:rsid w:val="003F149D"/>
    <w:rsid w:val="003F1AC1"/>
    <w:rsid w:val="003F202D"/>
    <w:rsid w:val="003F3EA8"/>
    <w:rsid w:val="003F7A86"/>
    <w:rsid w:val="003F7FF3"/>
    <w:rsid w:val="00400AEC"/>
    <w:rsid w:val="00402519"/>
    <w:rsid w:val="00403305"/>
    <w:rsid w:val="004047F6"/>
    <w:rsid w:val="004058D7"/>
    <w:rsid w:val="0040624C"/>
    <w:rsid w:val="00406F0E"/>
    <w:rsid w:val="0041023C"/>
    <w:rsid w:val="00411DCF"/>
    <w:rsid w:val="00412936"/>
    <w:rsid w:val="0041554A"/>
    <w:rsid w:val="00415FBD"/>
    <w:rsid w:val="00416E17"/>
    <w:rsid w:val="00417E53"/>
    <w:rsid w:val="00420170"/>
    <w:rsid w:val="004204BC"/>
    <w:rsid w:val="004221AC"/>
    <w:rsid w:val="0042376D"/>
    <w:rsid w:val="00424264"/>
    <w:rsid w:val="00425C8B"/>
    <w:rsid w:val="00425FE8"/>
    <w:rsid w:val="00426213"/>
    <w:rsid w:val="004270F6"/>
    <w:rsid w:val="0043110F"/>
    <w:rsid w:val="004325A4"/>
    <w:rsid w:val="0043355E"/>
    <w:rsid w:val="004341DB"/>
    <w:rsid w:val="00434AD6"/>
    <w:rsid w:val="00434DDA"/>
    <w:rsid w:val="00435837"/>
    <w:rsid w:val="0043657F"/>
    <w:rsid w:val="00440E1B"/>
    <w:rsid w:val="0044288D"/>
    <w:rsid w:val="00445247"/>
    <w:rsid w:val="004460A6"/>
    <w:rsid w:val="004462FA"/>
    <w:rsid w:val="004469C8"/>
    <w:rsid w:val="00446CC3"/>
    <w:rsid w:val="00454AC7"/>
    <w:rsid w:val="00456E70"/>
    <w:rsid w:val="00457858"/>
    <w:rsid w:val="00464F3B"/>
    <w:rsid w:val="0046589A"/>
    <w:rsid w:val="00466AA2"/>
    <w:rsid w:val="00470EF0"/>
    <w:rsid w:val="00471863"/>
    <w:rsid w:val="00472551"/>
    <w:rsid w:val="004726D2"/>
    <w:rsid w:val="004759BB"/>
    <w:rsid w:val="00476421"/>
    <w:rsid w:val="00476715"/>
    <w:rsid w:val="004846F6"/>
    <w:rsid w:val="004858BA"/>
    <w:rsid w:val="00486373"/>
    <w:rsid w:val="00487249"/>
    <w:rsid w:val="004874D7"/>
    <w:rsid w:val="0049010C"/>
    <w:rsid w:val="004917A8"/>
    <w:rsid w:val="004938C9"/>
    <w:rsid w:val="00494B3A"/>
    <w:rsid w:val="00497AEC"/>
    <w:rsid w:val="00497E5D"/>
    <w:rsid w:val="004A09A4"/>
    <w:rsid w:val="004A210E"/>
    <w:rsid w:val="004A2967"/>
    <w:rsid w:val="004A3873"/>
    <w:rsid w:val="004A3B43"/>
    <w:rsid w:val="004A3CE7"/>
    <w:rsid w:val="004A671E"/>
    <w:rsid w:val="004A7273"/>
    <w:rsid w:val="004A7411"/>
    <w:rsid w:val="004B0BCA"/>
    <w:rsid w:val="004B14A2"/>
    <w:rsid w:val="004B1E1D"/>
    <w:rsid w:val="004B6D4F"/>
    <w:rsid w:val="004C0CF4"/>
    <w:rsid w:val="004C37B5"/>
    <w:rsid w:val="004C6A47"/>
    <w:rsid w:val="004C7217"/>
    <w:rsid w:val="004C7305"/>
    <w:rsid w:val="004C7FDD"/>
    <w:rsid w:val="004D1DE7"/>
    <w:rsid w:val="004D28F0"/>
    <w:rsid w:val="004D2A34"/>
    <w:rsid w:val="004D682A"/>
    <w:rsid w:val="004E00B8"/>
    <w:rsid w:val="004E1CC4"/>
    <w:rsid w:val="004E2568"/>
    <w:rsid w:val="004E2838"/>
    <w:rsid w:val="004E36F7"/>
    <w:rsid w:val="004E3BA8"/>
    <w:rsid w:val="004E4E90"/>
    <w:rsid w:val="004E524F"/>
    <w:rsid w:val="004E698C"/>
    <w:rsid w:val="004E7E4B"/>
    <w:rsid w:val="004E7F5D"/>
    <w:rsid w:val="004F18E1"/>
    <w:rsid w:val="004F1F27"/>
    <w:rsid w:val="004F211D"/>
    <w:rsid w:val="004F58BA"/>
    <w:rsid w:val="004F5DC3"/>
    <w:rsid w:val="00500C5F"/>
    <w:rsid w:val="00501171"/>
    <w:rsid w:val="0050236C"/>
    <w:rsid w:val="005028DD"/>
    <w:rsid w:val="005036DE"/>
    <w:rsid w:val="00503CAD"/>
    <w:rsid w:val="00506D0F"/>
    <w:rsid w:val="005106CB"/>
    <w:rsid w:val="005143D8"/>
    <w:rsid w:val="00514F69"/>
    <w:rsid w:val="0051514A"/>
    <w:rsid w:val="00516384"/>
    <w:rsid w:val="00517D93"/>
    <w:rsid w:val="00520B03"/>
    <w:rsid w:val="00520F33"/>
    <w:rsid w:val="0052330B"/>
    <w:rsid w:val="005235DB"/>
    <w:rsid w:val="00524B6E"/>
    <w:rsid w:val="00534194"/>
    <w:rsid w:val="00535B4E"/>
    <w:rsid w:val="00536B2C"/>
    <w:rsid w:val="00540A30"/>
    <w:rsid w:val="00541E09"/>
    <w:rsid w:val="00544DB2"/>
    <w:rsid w:val="0055011A"/>
    <w:rsid w:val="00550E8B"/>
    <w:rsid w:val="00553F03"/>
    <w:rsid w:val="0055429A"/>
    <w:rsid w:val="00554AF4"/>
    <w:rsid w:val="005604C8"/>
    <w:rsid w:val="00562A99"/>
    <w:rsid w:val="00563157"/>
    <w:rsid w:val="0056382D"/>
    <w:rsid w:val="00563DD7"/>
    <w:rsid w:val="00565218"/>
    <w:rsid w:val="00565772"/>
    <w:rsid w:val="00565F69"/>
    <w:rsid w:val="00573942"/>
    <w:rsid w:val="00574CBA"/>
    <w:rsid w:val="00576870"/>
    <w:rsid w:val="00577670"/>
    <w:rsid w:val="00580E9D"/>
    <w:rsid w:val="005846FF"/>
    <w:rsid w:val="00585042"/>
    <w:rsid w:val="00591465"/>
    <w:rsid w:val="005935D8"/>
    <w:rsid w:val="005A2D40"/>
    <w:rsid w:val="005A63DA"/>
    <w:rsid w:val="005B3B39"/>
    <w:rsid w:val="005B5CD8"/>
    <w:rsid w:val="005B5FD7"/>
    <w:rsid w:val="005B77BF"/>
    <w:rsid w:val="005C101C"/>
    <w:rsid w:val="005C1F8F"/>
    <w:rsid w:val="005C224C"/>
    <w:rsid w:val="005C24A0"/>
    <w:rsid w:val="005C2946"/>
    <w:rsid w:val="005C34B4"/>
    <w:rsid w:val="005C3D36"/>
    <w:rsid w:val="005C435D"/>
    <w:rsid w:val="005C612D"/>
    <w:rsid w:val="005D04D1"/>
    <w:rsid w:val="005D0BD1"/>
    <w:rsid w:val="005D25D2"/>
    <w:rsid w:val="005D2699"/>
    <w:rsid w:val="005D426C"/>
    <w:rsid w:val="005D610D"/>
    <w:rsid w:val="005D6227"/>
    <w:rsid w:val="005E109C"/>
    <w:rsid w:val="005E29E1"/>
    <w:rsid w:val="005E2E0D"/>
    <w:rsid w:val="005E3DC3"/>
    <w:rsid w:val="005E6586"/>
    <w:rsid w:val="005E7C8B"/>
    <w:rsid w:val="005F1A12"/>
    <w:rsid w:val="005F756D"/>
    <w:rsid w:val="0060041D"/>
    <w:rsid w:val="00603F7D"/>
    <w:rsid w:val="0060468F"/>
    <w:rsid w:val="006047CD"/>
    <w:rsid w:val="006106CF"/>
    <w:rsid w:val="0061188B"/>
    <w:rsid w:val="00611F12"/>
    <w:rsid w:val="006136C9"/>
    <w:rsid w:val="00613771"/>
    <w:rsid w:val="00613D4D"/>
    <w:rsid w:val="00614D39"/>
    <w:rsid w:val="00617F01"/>
    <w:rsid w:val="006210B4"/>
    <w:rsid w:val="00622E97"/>
    <w:rsid w:val="0062705F"/>
    <w:rsid w:val="00627B78"/>
    <w:rsid w:val="00630FCF"/>
    <w:rsid w:val="0063135E"/>
    <w:rsid w:val="006318FB"/>
    <w:rsid w:val="00633115"/>
    <w:rsid w:val="00634440"/>
    <w:rsid w:val="006347A8"/>
    <w:rsid w:val="0063563A"/>
    <w:rsid w:val="00636861"/>
    <w:rsid w:val="00641FC2"/>
    <w:rsid w:val="00643A67"/>
    <w:rsid w:val="00644A6C"/>
    <w:rsid w:val="00645520"/>
    <w:rsid w:val="006507E9"/>
    <w:rsid w:val="00652A4C"/>
    <w:rsid w:val="00656189"/>
    <w:rsid w:val="006612AC"/>
    <w:rsid w:val="00661354"/>
    <w:rsid w:val="00661435"/>
    <w:rsid w:val="00662A0F"/>
    <w:rsid w:val="00663337"/>
    <w:rsid w:val="0066494B"/>
    <w:rsid w:val="00664D9E"/>
    <w:rsid w:val="00665AA1"/>
    <w:rsid w:val="00665E03"/>
    <w:rsid w:val="0067025B"/>
    <w:rsid w:val="0067187B"/>
    <w:rsid w:val="006733EC"/>
    <w:rsid w:val="00673C92"/>
    <w:rsid w:val="00677B5A"/>
    <w:rsid w:val="006810D9"/>
    <w:rsid w:val="006814BB"/>
    <w:rsid w:val="00681DB1"/>
    <w:rsid w:val="00683B1E"/>
    <w:rsid w:val="006841E5"/>
    <w:rsid w:val="006856C8"/>
    <w:rsid w:val="0068635C"/>
    <w:rsid w:val="006869E3"/>
    <w:rsid w:val="00686B9F"/>
    <w:rsid w:val="00686FBD"/>
    <w:rsid w:val="00687BDE"/>
    <w:rsid w:val="00687FA2"/>
    <w:rsid w:val="006915DF"/>
    <w:rsid w:val="00695466"/>
    <w:rsid w:val="00697AA1"/>
    <w:rsid w:val="006A22AA"/>
    <w:rsid w:val="006A46C1"/>
    <w:rsid w:val="006A4E32"/>
    <w:rsid w:val="006A5755"/>
    <w:rsid w:val="006A5A30"/>
    <w:rsid w:val="006A60EF"/>
    <w:rsid w:val="006A618F"/>
    <w:rsid w:val="006A74D0"/>
    <w:rsid w:val="006A7A13"/>
    <w:rsid w:val="006B0774"/>
    <w:rsid w:val="006B1250"/>
    <w:rsid w:val="006B135A"/>
    <w:rsid w:val="006B147E"/>
    <w:rsid w:val="006B3DEF"/>
    <w:rsid w:val="006B51EF"/>
    <w:rsid w:val="006B58CD"/>
    <w:rsid w:val="006B59F3"/>
    <w:rsid w:val="006B6753"/>
    <w:rsid w:val="006C0FCB"/>
    <w:rsid w:val="006C128C"/>
    <w:rsid w:val="006C2113"/>
    <w:rsid w:val="006C22FC"/>
    <w:rsid w:val="006C32B1"/>
    <w:rsid w:val="006C337B"/>
    <w:rsid w:val="006C39C3"/>
    <w:rsid w:val="006C39F9"/>
    <w:rsid w:val="006C4203"/>
    <w:rsid w:val="006C5819"/>
    <w:rsid w:val="006D1896"/>
    <w:rsid w:val="006D2490"/>
    <w:rsid w:val="006D3657"/>
    <w:rsid w:val="006E1E1C"/>
    <w:rsid w:val="006E20EC"/>
    <w:rsid w:val="006E59D1"/>
    <w:rsid w:val="006F00B8"/>
    <w:rsid w:val="006F3B44"/>
    <w:rsid w:val="00700FD8"/>
    <w:rsid w:val="007010B1"/>
    <w:rsid w:val="007029E5"/>
    <w:rsid w:val="0070373A"/>
    <w:rsid w:val="00704574"/>
    <w:rsid w:val="007050EA"/>
    <w:rsid w:val="00706415"/>
    <w:rsid w:val="0070692E"/>
    <w:rsid w:val="0070733B"/>
    <w:rsid w:val="007078D9"/>
    <w:rsid w:val="007117BD"/>
    <w:rsid w:val="00712153"/>
    <w:rsid w:val="00712411"/>
    <w:rsid w:val="00712C3A"/>
    <w:rsid w:val="00714AB5"/>
    <w:rsid w:val="0071533F"/>
    <w:rsid w:val="0072007B"/>
    <w:rsid w:val="00726538"/>
    <w:rsid w:val="0072740C"/>
    <w:rsid w:val="00730C5C"/>
    <w:rsid w:val="00732BE7"/>
    <w:rsid w:val="00734125"/>
    <w:rsid w:val="00734132"/>
    <w:rsid w:val="007410D8"/>
    <w:rsid w:val="007412EB"/>
    <w:rsid w:val="00741F14"/>
    <w:rsid w:val="00744A9F"/>
    <w:rsid w:val="007456ED"/>
    <w:rsid w:val="00746E52"/>
    <w:rsid w:val="00747909"/>
    <w:rsid w:val="007501F4"/>
    <w:rsid w:val="0075072F"/>
    <w:rsid w:val="00750D5B"/>
    <w:rsid w:val="00751171"/>
    <w:rsid w:val="00751AC6"/>
    <w:rsid w:val="00755969"/>
    <w:rsid w:val="00755DA1"/>
    <w:rsid w:val="00761108"/>
    <w:rsid w:val="00762ABF"/>
    <w:rsid w:val="00763209"/>
    <w:rsid w:val="00763453"/>
    <w:rsid w:val="007634FE"/>
    <w:rsid w:val="00766236"/>
    <w:rsid w:val="0076719E"/>
    <w:rsid w:val="007710A2"/>
    <w:rsid w:val="00771AC3"/>
    <w:rsid w:val="007724D7"/>
    <w:rsid w:val="0077592A"/>
    <w:rsid w:val="007779DE"/>
    <w:rsid w:val="0078009F"/>
    <w:rsid w:val="00780E61"/>
    <w:rsid w:val="007815CA"/>
    <w:rsid w:val="00783E8E"/>
    <w:rsid w:val="00785367"/>
    <w:rsid w:val="00790184"/>
    <w:rsid w:val="00790C61"/>
    <w:rsid w:val="007918ED"/>
    <w:rsid w:val="007921A9"/>
    <w:rsid w:val="00793855"/>
    <w:rsid w:val="00793869"/>
    <w:rsid w:val="00794981"/>
    <w:rsid w:val="00794C20"/>
    <w:rsid w:val="00795CB5"/>
    <w:rsid w:val="007A11B4"/>
    <w:rsid w:val="007A1485"/>
    <w:rsid w:val="007A3293"/>
    <w:rsid w:val="007A40E4"/>
    <w:rsid w:val="007A5A52"/>
    <w:rsid w:val="007B0950"/>
    <w:rsid w:val="007B0F97"/>
    <w:rsid w:val="007B1054"/>
    <w:rsid w:val="007B2631"/>
    <w:rsid w:val="007B2845"/>
    <w:rsid w:val="007B7BE8"/>
    <w:rsid w:val="007C5BAD"/>
    <w:rsid w:val="007D1DAC"/>
    <w:rsid w:val="007D225E"/>
    <w:rsid w:val="007D3188"/>
    <w:rsid w:val="007E0F79"/>
    <w:rsid w:val="007E1530"/>
    <w:rsid w:val="007E2B61"/>
    <w:rsid w:val="007E5D39"/>
    <w:rsid w:val="007E625B"/>
    <w:rsid w:val="0080131E"/>
    <w:rsid w:val="00804605"/>
    <w:rsid w:val="008048BD"/>
    <w:rsid w:val="008077D5"/>
    <w:rsid w:val="00807DFD"/>
    <w:rsid w:val="008106EB"/>
    <w:rsid w:val="00812105"/>
    <w:rsid w:val="00814CB3"/>
    <w:rsid w:val="00816D2D"/>
    <w:rsid w:val="008216FA"/>
    <w:rsid w:val="00823674"/>
    <w:rsid w:val="008249E2"/>
    <w:rsid w:val="0082627A"/>
    <w:rsid w:val="00826FFD"/>
    <w:rsid w:val="008278A1"/>
    <w:rsid w:val="00832A73"/>
    <w:rsid w:val="00834034"/>
    <w:rsid w:val="00840687"/>
    <w:rsid w:val="00840BFE"/>
    <w:rsid w:val="0084300E"/>
    <w:rsid w:val="0084570C"/>
    <w:rsid w:val="008463E7"/>
    <w:rsid w:val="00846F93"/>
    <w:rsid w:val="00847385"/>
    <w:rsid w:val="00847AAC"/>
    <w:rsid w:val="00853D60"/>
    <w:rsid w:val="008559F3"/>
    <w:rsid w:val="0085694F"/>
    <w:rsid w:val="0086271D"/>
    <w:rsid w:val="0086425A"/>
    <w:rsid w:val="00864CFC"/>
    <w:rsid w:val="00864F6D"/>
    <w:rsid w:val="0086503D"/>
    <w:rsid w:val="0086704C"/>
    <w:rsid w:val="008670DE"/>
    <w:rsid w:val="00867A25"/>
    <w:rsid w:val="00873344"/>
    <w:rsid w:val="00877771"/>
    <w:rsid w:val="0087799F"/>
    <w:rsid w:val="008802B7"/>
    <w:rsid w:val="00884DD8"/>
    <w:rsid w:val="008900D1"/>
    <w:rsid w:val="00892EE9"/>
    <w:rsid w:val="00895350"/>
    <w:rsid w:val="008959C5"/>
    <w:rsid w:val="00896CC2"/>
    <w:rsid w:val="00896D55"/>
    <w:rsid w:val="008975B3"/>
    <w:rsid w:val="008979A7"/>
    <w:rsid w:val="008A0463"/>
    <w:rsid w:val="008A10E6"/>
    <w:rsid w:val="008A30C3"/>
    <w:rsid w:val="008A3A38"/>
    <w:rsid w:val="008A406C"/>
    <w:rsid w:val="008A59DE"/>
    <w:rsid w:val="008B0628"/>
    <w:rsid w:val="008B1728"/>
    <w:rsid w:val="008B2D52"/>
    <w:rsid w:val="008B2EA9"/>
    <w:rsid w:val="008B7BD5"/>
    <w:rsid w:val="008C0464"/>
    <w:rsid w:val="008C379F"/>
    <w:rsid w:val="008C3DFF"/>
    <w:rsid w:val="008C4298"/>
    <w:rsid w:val="008C4B79"/>
    <w:rsid w:val="008C617D"/>
    <w:rsid w:val="008D03C1"/>
    <w:rsid w:val="008D089A"/>
    <w:rsid w:val="008D47F0"/>
    <w:rsid w:val="008D5192"/>
    <w:rsid w:val="008D79FB"/>
    <w:rsid w:val="008E7E86"/>
    <w:rsid w:val="008F3B83"/>
    <w:rsid w:val="008F58F7"/>
    <w:rsid w:val="008F77C9"/>
    <w:rsid w:val="0090062F"/>
    <w:rsid w:val="0090153C"/>
    <w:rsid w:val="009016D3"/>
    <w:rsid w:val="00903596"/>
    <w:rsid w:val="00903FFA"/>
    <w:rsid w:val="009044F4"/>
    <w:rsid w:val="00905376"/>
    <w:rsid w:val="0091076C"/>
    <w:rsid w:val="00911D64"/>
    <w:rsid w:val="009124EE"/>
    <w:rsid w:val="009142AD"/>
    <w:rsid w:val="009252A1"/>
    <w:rsid w:val="00930CA8"/>
    <w:rsid w:val="00931882"/>
    <w:rsid w:val="00935E90"/>
    <w:rsid w:val="00937874"/>
    <w:rsid w:val="00940B32"/>
    <w:rsid w:val="009440E5"/>
    <w:rsid w:val="009444B2"/>
    <w:rsid w:val="00945414"/>
    <w:rsid w:val="00945856"/>
    <w:rsid w:val="0094773F"/>
    <w:rsid w:val="00947A95"/>
    <w:rsid w:val="00953884"/>
    <w:rsid w:val="009541A3"/>
    <w:rsid w:val="00955A58"/>
    <w:rsid w:val="00955D6F"/>
    <w:rsid w:val="00961E18"/>
    <w:rsid w:val="00963182"/>
    <w:rsid w:val="009633AA"/>
    <w:rsid w:val="009648C3"/>
    <w:rsid w:val="009673EE"/>
    <w:rsid w:val="00967B8B"/>
    <w:rsid w:val="009700BE"/>
    <w:rsid w:val="00977188"/>
    <w:rsid w:val="00977222"/>
    <w:rsid w:val="00977E35"/>
    <w:rsid w:val="00980180"/>
    <w:rsid w:val="00984064"/>
    <w:rsid w:val="009845FF"/>
    <w:rsid w:val="0098578D"/>
    <w:rsid w:val="0099072F"/>
    <w:rsid w:val="009926B3"/>
    <w:rsid w:val="00993E93"/>
    <w:rsid w:val="009951DA"/>
    <w:rsid w:val="009A573E"/>
    <w:rsid w:val="009A6897"/>
    <w:rsid w:val="009A6CAD"/>
    <w:rsid w:val="009B567B"/>
    <w:rsid w:val="009C083C"/>
    <w:rsid w:val="009C097B"/>
    <w:rsid w:val="009C3335"/>
    <w:rsid w:val="009C3C05"/>
    <w:rsid w:val="009C446F"/>
    <w:rsid w:val="009C4EBE"/>
    <w:rsid w:val="009C7A12"/>
    <w:rsid w:val="009D1A32"/>
    <w:rsid w:val="009D266D"/>
    <w:rsid w:val="009D2E8C"/>
    <w:rsid w:val="009D32C9"/>
    <w:rsid w:val="009D623C"/>
    <w:rsid w:val="009D757B"/>
    <w:rsid w:val="009E0065"/>
    <w:rsid w:val="009E0C4C"/>
    <w:rsid w:val="009E26A1"/>
    <w:rsid w:val="009E4FCE"/>
    <w:rsid w:val="009E5098"/>
    <w:rsid w:val="009E5B47"/>
    <w:rsid w:val="009F4DB7"/>
    <w:rsid w:val="009F644B"/>
    <w:rsid w:val="009F65EE"/>
    <w:rsid w:val="00A01133"/>
    <w:rsid w:val="00A01CE0"/>
    <w:rsid w:val="00A03FD1"/>
    <w:rsid w:val="00A076ED"/>
    <w:rsid w:val="00A1230F"/>
    <w:rsid w:val="00A12E53"/>
    <w:rsid w:val="00A14BFA"/>
    <w:rsid w:val="00A14CD9"/>
    <w:rsid w:val="00A16D4B"/>
    <w:rsid w:val="00A205B1"/>
    <w:rsid w:val="00A25A69"/>
    <w:rsid w:val="00A27538"/>
    <w:rsid w:val="00A27700"/>
    <w:rsid w:val="00A308C4"/>
    <w:rsid w:val="00A317E7"/>
    <w:rsid w:val="00A33978"/>
    <w:rsid w:val="00A33B9E"/>
    <w:rsid w:val="00A34AEB"/>
    <w:rsid w:val="00A35A8C"/>
    <w:rsid w:val="00A37041"/>
    <w:rsid w:val="00A409EE"/>
    <w:rsid w:val="00A40E89"/>
    <w:rsid w:val="00A46143"/>
    <w:rsid w:val="00A52101"/>
    <w:rsid w:val="00A528E9"/>
    <w:rsid w:val="00A54079"/>
    <w:rsid w:val="00A62924"/>
    <w:rsid w:val="00A666AF"/>
    <w:rsid w:val="00A710D3"/>
    <w:rsid w:val="00A71E96"/>
    <w:rsid w:val="00A765A3"/>
    <w:rsid w:val="00A76DC5"/>
    <w:rsid w:val="00A7725D"/>
    <w:rsid w:val="00A7758C"/>
    <w:rsid w:val="00A8433A"/>
    <w:rsid w:val="00A850DE"/>
    <w:rsid w:val="00A9098B"/>
    <w:rsid w:val="00A91ACB"/>
    <w:rsid w:val="00A9324F"/>
    <w:rsid w:val="00A953C4"/>
    <w:rsid w:val="00A95E85"/>
    <w:rsid w:val="00AA0419"/>
    <w:rsid w:val="00AA22D7"/>
    <w:rsid w:val="00AA2ACC"/>
    <w:rsid w:val="00AA2B68"/>
    <w:rsid w:val="00AA45D5"/>
    <w:rsid w:val="00AA52FD"/>
    <w:rsid w:val="00AA6041"/>
    <w:rsid w:val="00AA7153"/>
    <w:rsid w:val="00AB2EC4"/>
    <w:rsid w:val="00AB5022"/>
    <w:rsid w:val="00AB78C7"/>
    <w:rsid w:val="00AC3BFD"/>
    <w:rsid w:val="00AC580E"/>
    <w:rsid w:val="00AC7EEB"/>
    <w:rsid w:val="00AD20D8"/>
    <w:rsid w:val="00AD2A90"/>
    <w:rsid w:val="00AD2D59"/>
    <w:rsid w:val="00AD5539"/>
    <w:rsid w:val="00AE2FEE"/>
    <w:rsid w:val="00AE43C5"/>
    <w:rsid w:val="00AE47E0"/>
    <w:rsid w:val="00AE521A"/>
    <w:rsid w:val="00AE62FA"/>
    <w:rsid w:val="00AE7D22"/>
    <w:rsid w:val="00AF059F"/>
    <w:rsid w:val="00AF1537"/>
    <w:rsid w:val="00AF1AE8"/>
    <w:rsid w:val="00AF3553"/>
    <w:rsid w:val="00AF46AC"/>
    <w:rsid w:val="00AF7187"/>
    <w:rsid w:val="00B008E4"/>
    <w:rsid w:val="00B02B2A"/>
    <w:rsid w:val="00B047FA"/>
    <w:rsid w:val="00B0787F"/>
    <w:rsid w:val="00B10E1E"/>
    <w:rsid w:val="00B14C36"/>
    <w:rsid w:val="00B175BE"/>
    <w:rsid w:val="00B230F1"/>
    <w:rsid w:val="00B242EC"/>
    <w:rsid w:val="00B263D3"/>
    <w:rsid w:val="00B30E1C"/>
    <w:rsid w:val="00B341F9"/>
    <w:rsid w:val="00B3516D"/>
    <w:rsid w:val="00B37B32"/>
    <w:rsid w:val="00B42593"/>
    <w:rsid w:val="00B426ED"/>
    <w:rsid w:val="00B42FA3"/>
    <w:rsid w:val="00B433E2"/>
    <w:rsid w:val="00B452AE"/>
    <w:rsid w:val="00B455A2"/>
    <w:rsid w:val="00B45D05"/>
    <w:rsid w:val="00B46249"/>
    <w:rsid w:val="00B4740D"/>
    <w:rsid w:val="00B47643"/>
    <w:rsid w:val="00B5026E"/>
    <w:rsid w:val="00B51979"/>
    <w:rsid w:val="00B51F97"/>
    <w:rsid w:val="00B528EF"/>
    <w:rsid w:val="00B579BA"/>
    <w:rsid w:val="00B60DEF"/>
    <w:rsid w:val="00B62A3D"/>
    <w:rsid w:val="00B63008"/>
    <w:rsid w:val="00B655F9"/>
    <w:rsid w:val="00B66210"/>
    <w:rsid w:val="00B67AD4"/>
    <w:rsid w:val="00B7532F"/>
    <w:rsid w:val="00B76F53"/>
    <w:rsid w:val="00B81640"/>
    <w:rsid w:val="00B85E96"/>
    <w:rsid w:val="00B862C8"/>
    <w:rsid w:val="00B87199"/>
    <w:rsid w:val="00B879CD"/>
    <w:rsid w:val="00B904F6"/>
    <w:rsid w:val="00B91ED9"/>
    <w:rsid w:val="00B9305E"/>
    <w:rsid w:val="00B94112"/>
    <w:rsid w:val="00B94CD7"/>
    <w:rsid w:val="00B95454"/>
    <w:rsid w:val="00BA2FB6"/>
    <w:rsid w:val="00BA3E49"/>
    <w:rsid w:val="00BA46AA"/>
    <w:rsid w:val="00BA54B9"/>
    <w:rsid w:val="00BA59B7"/>
    <w:rsid w:val="00BA654C"/>
    <w:rsid w:val="00BA6E6E"/>
    <w:rsid w:val="00BA7CAA"/>
    <w:rsid w:val="00BB1F11"/>
    <w:rsid w:val="00BB299B"/>
    <w:rsid w:val="00BB3148"/>
    <w:rsid w:val="00BB3556"/>
    <w:rsid w:val="00BB6ABC"/>
    <w:rsid w:val="00BB7A05"/>
    <w:rsid w:val="00BB7C6E"/>
    <w:rsid w:val="00BC07D7"/>
    <w:rsid w:val="00BC0FFF"/>
    <w:rsid w:val="00BC2B07"/>
    <w:rsid w:val="00BC3079"/>
    <w:rsid w:val="00BC327E"/>
    <w:rsid w:val="00BC463C"/>
    <w:rsid w:val="00BC7C82"/>
    <w:rsid w:val="00BD0173"/>
    <w:rsid w:val="00BD0A9E"/>
    <w:rsid w:val="00BD3EB9"/>
    <w:rsid w:val="00BD460A"/>
    <w:rsid w:val="00BD5588"/>
    <w:rsid w:val="00BD7DC8"/>
    <w:rsid w:val="00BE078D"/>
    <w:rsid w:val="00BE1CD8"/>
    <w:rsid w:val="00BE4366"/>
    <w:rsid w:val="00BE5546"/>
    <w:rsid w:val="00BE6130"/>
    <w:rsid w:val="00BF1572"/>
    <w:rsid w:val="00BF6131"/>
    <w:rsid w:val="00BF66D6"/>
    <w:rsid w:val="00BF72A4"/>
    <w:rsid w:val="00BF7711"/>
    <w:rsid w:val="00BF7A84"/>
    <w:rsid w:val="00C01C06"/>
    <w:rsid w:val="00C025C1"/>
    <w:rsid w:val="00C076AA"/>
    <w:rsid w:val="00C13505"/>
    <w:rsid w:val="00C14839"/>
    <w:rsid w:val="00C15E18"/>
    <w:rsid w:val="00C17891"/>
    <w:rsid w:val="00C20655"/>
    <w:rsid w:val="00C23BC3"/>
    <w:rsid w:val="00C250E2"/>
    <w:rsid w:val="00C251E1"/>
    <w:rsid w:val="00C269F2"/>
    <w:rsid w:val="00C271D9"/>
    <w:rsid w:val="00C30F55"/>
    <w:rsid w:val="00C35424"/>
    <w:rsid w:val="00C35970"/>
    <w:rsid w:val="00C36D00"/>
    <w:rsid w:val="00C37191"/>
    <w:rsid w:val="00C40CFF"/>
    <w:rsid w:val="00C41052"/>
    <w:rsid w:val="00C41A20"/>
    <w:rsid w:val="00C41FD7"/>
    <w:rsid w:val="00C42E7A"/>
    <w:rsid w:val="00C441C5"/>
    <w:rsid w:val="00C4494C"/>
    <w:rsid w:val="00C4741D"/>
    <w:rsid w:val="00C47B9D"/>
    <w:rsid w:val="00C51FDD"/>
    <w:rsid w:val="00C532F6"/>
    <w:rsid w:val="00C538F8"/>
    <w:rsid w:val="00C54826"/>
    <w:rsid w:val="00C54F0C"/>
    <w:rsid w:val="00C57176"/>
    <w:rsid w:val="00C62674"/>
    <w:rsid w:val="00C637DF"/>
    <w:rsid w:val="00C63D14"/>
    <w:rsid w:val="00C65587"/>
    <w:rsid w:val="00C67A90"/>
    <w:rsid w:val="00C7029E"/>
    <w:rsid w:val="00C70694"/>
    <w:rsid w:val="00C70B4D"/>
    <w:rsid w:val="00C70FC8"/>
    <w:rsid w:val="00C71778"/>
    <w:rsid w:val="00C72002"/>
    <w:rsid w:val="00C72726"/>
    <w:rsid w:val="00C7358B"/>
    <w:rsid w:val="00C73A59"/>
    <w:rsid w:val="00C76D33"/>
    <w:rsid w:val="00C772BD"/>
    <w:rsid w:val="00C800A9"/>
    <w:rsid w:val="00C80EE9"/>
    <w:rsid w:val="00C81077"/>
    <w:rsid w:val="00C81333"/>
    <w:rsid w:val="00C82116"/>
    <w:rsid w:val="00C828DE"/>
    <w:rsid w:val="00C84814"/>
    <w:rsid w:val="00C8675D"/>
    <w:rsid w:val="00C86C62"/>
    <w:rsid w:val="00C872BF"/>
    <w:rsid w:val="00C95C47"/>
    <w:rsid w:val="00CA28FE"/>
    <w:rsid w:val="00CA43AD"/>
    <w:rsid w:val="00CA5378"/>
    <w:rsid w:val="00CA62AE"/>
    <w:rsid w:val="00CA7115"/>
    <w:rsid w:val="00CA7CEB"/>
    <w:rsid w:val="00CA7D51"/>
    <w:rsid w:val="00CB284F"/>
    <w:rsid w:val="00CB3472"/>
    <w:rsid w:val="00CB3940"/>
    <w:rsid w:val="00CB3C4B"/>
    <w:rsid w:val="00CB5340"/>
    <w:rsid w:val="00CB5C01"/>
    <w:rsid w:val="00CB5F2D"/>
    <w:rsid w:val="00CB7AAC"/>
    <w:rsid w:val="00CC4E94"/>
    <w:rsid w:val="00CC505C"/>
    <w:rsid w:val="00CC602E"/>
    <w:rsid w:val="00CD3A43"/>
    <w:rsid w:val="00CD5093"/>
    <w:rsid w:val="00CD604D"/>
    <w:rsid w:val="00CD6C44"/>
    <w:rsid w:val="00CD76B6"/>
    <w:rsid w:val="00CE0181"/>
    <w:rsid w:val="00CE09FF"/>
    <w:rsid w:val="00CE0C47"/>
    <w:rsid w:val="00CE0C4F"/>
    <w:rsid w:val="00CE225A"/>
    <w:rsid w:val="00CE3669"/>
    <w:rsid w:val="00CE5A56"/>
    <w:rsid w:val="00CE5E7B"/>
    <w:rsid w:val="00CE6A3E"/>
    <w:rsid w:val="00CF2E05"/>
    <w:rsid w:val="00CF36D0"/>
    <w:rsid w:val="00CF4A59"/>
    <w:rsid w:val="00CF6F36"/>
    <w:rsid w:val="00D00308"/>
    <w:rsid w:val="00D02FA3"/>
    <w:rsid w:val="00D0571B"/>
    <w:rsid w:val="00D07AE2"/>
    <w:rsid w:val="00D10C67"/>
    <w:rsid w:val="00D10EBD"/>
    <w:rsid w:val="00D1323A"/>
    <w:rsid w:val="00D163B4"/>
    <w:rsid w:val="00D20A65"/>
    <w:rsid w:val="00D20AA4"/>
    <w:rsid w:val="00D21572"/>
    <w:rsid w:val="00D21BDB"/>
    <w:rsid w:val="00D252D3"/>
    <w:rsid w:val="00D25637"/>
    <w:rsid w:val="00D31F31"/>
    <w:rsid w:val="00D32E22"/>
    <w:rsid w:val="00D34CB4"/>
    <w:rsid w:val="00D36036"/>
    <w:rsid w:val="00D40269"/>
    <w:rsid w:val="00D40E61"/>
    <w:rsid w:val="00D420D2"/>
    <w:rsid w:val="00D4374B"/>
    <w:rsid w:val="00D44D2D"/>
    <w:rsid w:val="00D452F9"/>
    <w:rsid w:val="00D45368"/>
    <w:rsid w:val="00D47AF6"/>
    <w:rsid w:val="00D5425D"/>
    <w:rsid w:val="00D553AE"/>
    <w:rsid w:val="00D56C4F"/>
    <w:rsid w:val="00D56C5E"/>
    <w:rsid w:val="00D57B3F"/>
    <w:rsid w:val="00D626DD"/>
    <w:rsid w:val="00D628F3"/>
    <w:rsid w:val="00D63DD3"/>
    <w:rsid w:val="00D64124"/>
    <w:rsid w:val="00D64A72"/>
    <w:rsid w:val="00D6628B"/>
    <w:rsid w:val="00D70A63"/>
    <w:rsid w:val="00D71392"/>
    <w:rsid w:val="00D719F3"/>
    <w:rsid w:val="00D73212"/>
    <w:rsid w:val="00D744D0"/>
    <w:rsid w:val="00D75295"/>
    <w:rsid w:val="00D772CA"/>
    <w:rsid w:val="00D77580"/>
    <w:rsid w:val="00D77687"/>
    <w:rsid w:val="00D81437"/>
    <w:rsid w:val="00D817CF"/>
    <w:rsid w:val="00D8191B"/>
    <w:rsid w:val="00D821C4"/>
    <w:rsid w:val="00D843C4"/>
    <w:rsid w:val="00D87632"/>
    <w:rsid w:val="00D87C75"/>
    <w:rsid w:val="00D91AC0"/>
    <w:rsid w:val="00D92D4E"/>
    <w:rsid w:val="00D93C29"/>
    <w:rsid w:val="00D96C0F"/>
    <w:rsid w:val="00D97032"/>
    <w:rsid w:val="00D9733E"/>
    <w:rsid w:val="00DA395D"/>
    <w:rsid w:val="00DA673C"/>
    <w:rsid w:val="00DA6B36"/>
    <w:rsid w:val="00DA7593"/>
    <w:rsid w:val="00DB2E20"/>
    <w:rsid w:val="00DB3D59"/>
    <w:rsid w:val="00DB582A"/>
    <w:rsid w:val="00DC01CF"/>
    <w:rsid w:val="00DC227A"/>
    <w:rsid w:val="00DC3D1C"/>
    <w:rsid w:val="00DC3F0F"/>
    <w:rsid w:val="00DC47B4"/>
    <w:rsid w:val="00DC729C"/>
    <w:rsid w:val="00DD2EC2"/>
    <w:rsid w:val="00DD3B8F"/>
    <w:rsid w:val="00DD5FF5"/>
    <w:rsid w:val="00DE1997"/>
    <w:rsid w:val="00DE1E14"/>
    <w:rsid w:val="00DE2739"/>
    <w:rsid w:val="00DE42BF"/>
    <w:rsid w:val="00DE7EBF"/>
    <w:rsid w:val="00DE7F64"/>
    <w:rsid w:val="00DF0967"/>
    <w:rsid w:val="00DF1893"/>
    <w:rsid w:val="00DF22D1"/>
    <w:rsid w:val="00DF2FAB"/>
    <w:rsid w:val="00DF507E"/>
    <w:rsid w:val="00DF57F3"/>
    <w:rsid w:val="00DF62FB"/>
    <w:rsid w:val="00DF7A4C"/>
    <w:rsid w:val="00E00E03"/>
    <w:rsid w:val="00E03E65"/>
    <w:rsid w:val="00E0449F"/>
    <w:rsid w:val="00E05994"/>
    <w:rsid w:val="00E11E4B"/>
    <w:rsid w:val="00E11F6B"/>
    <w:rsid w:val="00E12D4C"/>
    <w:rsid w:val="00E12D5B"/>
    <w:rsid w:val="00E141CC"/>
    <w:rsid w:val="00E149A5"/>
    <w:rsid w:val="00E14E10"/>
    <w:rsid w:val="00E15192"/>
    <w:rsid w:val="00E1574B"/>
    <w:rsid w:val="00E16CB3"/>
    <w:rsid w:val="00E16F3B"/>
    <w:rsid w:val="00E2046C"/>
    <w:rsid w:val="00E20A73"/>
    <w:rsid w:val="00E216B5"/>
    <w:rsid w:val="00E22191"/>
    <w:rsid w:val="00E232D6"/>
    <w:rsid w:val="00E2367D"/>
    <w:rsid w:val="00E26461"/>
    <w:rsid w:val="00E27852"/>
    <w:rsid w:val="00E3103A"/>
    <w:rsid w:val="00E32D7B"/>
    <w:rsid w:val="00E35DE8"/>
    <w:rsid w:val="00E36D8C"/>
    <w:rsid w:val="00E36E4B"/>
    <w:rsid w:val="00E41B14"/>
    <w:rsid w:val="00E41D9F"/>
    <w:rsid w:val="00E422CA"/>
    <w:rsid w:val="00E44472"/>
    <w:rsid w:val="00E50057"/>
    <w:rsid w:val="00E5065A"/>
    <w:rsid w:val="00E5098C"/>
    <w:rsid w:val="00E52F67"/>
    <w:rsid w:val="00E5608E"/>
    <w:rsid w:val="00E56B89"/>
    <w:rsid w:val="00E5724A"/>
    <w:rsid w:val="00E6009A"/>
    <w:rsid w:val="00E60A90"/>
    <w:rsid w:val="00E60F1F"/>
    <w:rsid w:val="00E620A4"/>
    <w:rsid w:val="00E62C6B"/>
    <w:rsid w:val="00E63C7C"/>
    <w:rsid w:val="00E63D24"/>
    <w:rsid w:val="00E63E59"/>
    <w:rsid w:val="00E6630F"/>
    <w:rsid w:val="00E670C3"/>
    <w:rsid w:val="00E674FD"/>
    <w:rsid w:val="00E703F7"/>
    <w:rsid w:val="00E71200"/>
    <w:rsid w:val="00E717AC"/>
    <w:rsid w:val="00E71E96"/>
    <w:rsid w:val="00E71EBB"/>
    <w:rsid w:val="00E721D6"/>
    <w:rsid w:val="00E730F5"/>
    <w:rsid w:val="00E74776"/>
    <w:rsid w:val="00E750C8"/>
    <w:rsid w:val="00E769E0"/>
    <w:rsid w:val="00E807DF"/>
    <w:rsid w:val="00E821A6"/>
    <w:rsid w:val="00E84438"/>
    <w:rsid w:val="00E90581"/>
    <w:rsid w:val="00E91443"/>
    <w:rsid w:val="00E954A9"/>
    <w:rsid w:val="00E96BB5"/>
    <w:rsid w:val="00E96EB1"/>
    <w:rsid w:val="00E979DA"/>
    <w:rsid w:val="00EA4573"/>
    <w:rsid w:val="00EA45CC"/>
    <w:rsid w:val="00EA694A"/>
    <w:rsid w:val="00EB60FD"/>
    <w:rsid w:val="00EB7B7D"/>
    <w:rsid w:val="00EB7CD9"/>
    <w:rsid w:val="00EC02EC"/>
    <w:rsid w:val="00EC1B78"/>
    <w:rsid w:val="00EC4424"/>
    <w:rsid w:val="00ED0BA2"/>
    <w:rsid w:val="00ED1021"/>
    <w:rsid w:val="00ED6147"/>
    <w:rsid w:val="00ED7D1E"/>
    <w:rsid w:val="00EE194E"/>
    <w:rsid w:val="00EE4242"/>
    <w:rsid w:val="00EE45E2"/>
    <w:rsid w:val="00EE4E35"/>
    <w:rsid w:val="00EE7367"/>
    <w:rsid w:val="00EE73D4"/>
    <w:rsid w:val="00EF3395"/>
    <w:rsid w:val="00EF74DD"/>
    <w:rsid w:val="00F00085"/>
    <w:rsid w:val="00F041CD"/>
    <w:rsid w:val="00F04DFA"/>
    <w:rsid w:val="00F05457"/>
    <w:rsid w:val="00F05862"/>
    <w:rsid w:val="00F06AA6"/>
    <w:rsid w:val="00F07D43"/>
    <w:rsid w:val="00F12207"/>
    <w:rsid w:val="00F1229C"/>
    <w:rsid w:val="00F14BF5"/>
    <w:rsid w:val="00F14F70"/>
    <w:rsid w:val="00F1551D"/>
    <w:rsid w:val="00F16F72"/>
    <w:rsid w:val="00F21DFF"/>
    <w:rsid w:val="00F22AF6"/>
    <w:rsid w:val="00F244F2"/>
    <w:rsid w:val="00F25ADB"/>
    <w:rsid w:val="00F268B9"/>
    <w:rsid w:val="00F26E31"/>
    <w:rsid w:val="00F33A55"/>
    <w:rsid w:val="00F376CB"/>
    <w:rsid w:val="00F376DF"/>
    <w:rsid w:val="00F42765"/>
    <w:rsid w:val="00F43BC2"/>
    <w:rsid w:val="00F45F7A"/>
    <w:rsid w:val="00F462F2"/>
    <w:rsid w:val="00F50C2F"/>
    <w:rsid w:val="00F510F0"/>
    <w:rsid w:val="00F54C58"/>
    <w:rsid w:val="00F55365"/>
    <w:rsid w:val="00F57E91"/>
    <w:rsid w:val="00F60140"/>
    <w:rsid w:val="00F62385"/>
    <w:rsid w:val="00F62AE1"/>
    <w:rsid w:val="00F63675"/>
    <w:rsid w:val="00F63CFE"/>
    <w:rsid w:val="00F647C7"/>
    <w:rsid w:val="00F6647A"/>
    <w:rsid w:val="00F673DE"/>
    <w:rsid w:val="00F718F2"/>
    <w:rsid w:val="00F732F9"/>
    <w:rsid w:val="00F74810"/>
    <w:rsid w:val="00F749C6"/>
    <w:rsid w:val="00F829A0"/>
    <w:rsid w:val="00F83072"/>
    <w:rsid w:val="00F83B45"/>
    <w:rsid w:val="00F86B6D"/>
    <w:rsid w:val="00F86E76"/>
    <w:rsid w:val="00F9014C"/>
    <w:rsid w:val="00F923FF"/>
    <w:rsid w:val="00F93130"/>
    <w:rsid w:val="00F94C84"/>
    <w:rsid w:val="00F9519C"/>
    <w:rsid w:val="00F95758"/>
    <w:rsid w:val="00F962CE"/>
    <w:rsid w:val="00F965D6"/>
    <w:rsid w:val="00F9689B"/>
    <w:rsid w:val="00F976F1"/>
    <w:rsid w:val="00FA009E"/>
    <w:rsid w:val="00FA1FB9"/>
    <w:rsid w:val="00FA2651"/>
    <w:rsid w:val="00FA4F0D"/>
    <w:rsid w:val="00FA5DC9"/>
    <w:rsid w:val="00FA685E"/>
    <w:rsid w:val="00FA75E6"/>
    <w:rsid w:val="00FB309E"/>
    <w:rsid w:val="00FB6AA7"/>
    <w:rsid w:val="00FC1BA2"/>
    <w:rsid w:val="00FC26A9"/>
    <w:rsid w:val="00FC440B"/>
    <w:rsid w:val="00FC46FA"/>
    <w:rsid w:val="00FC4D53"/>
    <w:rsid w:val="00FC5DE5"/>
    <w:rsid w:val="00FC7790"/>
    <w:rsid w:val="00FD1244"/>
    <w:rsid w:val="00FD31FE"/>
    <w:rsid w:val="00FD4BBE"/>
    <w:rsid w:val="00FD57A5"/>
    <w:rsid w:val="00FD5FE5"/>
    <w:rsid w:val="00FE0540"/>
    <w:rsid w:val="00FE138D"/>
    <w:rsid w:val="00FE2AFD"/>
    <w:rsid w:val="00FE4414"/>
    <w:rsid w:val="00FE7652"/>
    <w:rsid w:val="00FF08D3"/>
    <w:rsid w:val="00FF091A"/>
    <w:rsid w:val="00FF10F5"/>
    <w:rsid w:val="00FF2022"/>
    <w:rsid w:val="00FF257C"/>
    <w:rsid w:val="00FF469A"/>
    <w:rsid w:val="00FF4CCC"/>
    <w:rsid w:val="00FF529D"/>
    <w:rsid w:val="00FF7843"/>
    <w:rsid w:val="00FF7A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327D89"/>
  <w15:docId w15:val="{95CC3E5A-AA9F-4749-AED4-88A8F25DC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link w:val="Heading3Char"/>
    <w:uiPriority w:val="9"/>
    <w:qFormat/>
    <w:rsid w:val="0046589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character" w:styleId="CommentReference">
    <w:name w:val="annotation reference"/>
    <w:basedOn w:val="DefaultParagraphFont"/>
    <w:uiPriority w:val="99"/>
    <w:semiHidden/>
    <w:unhideWhenUsed/>
    <w:rsid w:val="00F33A55"/>
    <w:rPr>
      <w:sz w:val="16"/>
      <w:szCs w:val="16"/>
    </w:rPr>
  </w:style>
  <w:style w:type="paragraph" w:styleId="CommentText">
    <w:name w:val="annotation text"/>
    <w:basedOn w:val="Normal"/>
    <w:link w:val="CommentTextChar"/>
    <w:uiPriority w:val="99"/>
    <w:unhideWhenUsed/>
    <w:rsid w:val="00F33A55"/>
    <w:rPr>
      <w:sz w:val="20"/>
      <w:szCs w:val="20"/>
    </w:rPr>
  </w:style>
  <w:style w:type="character" w:customStyle="1" w:styleId="CommentTextChar">
    <w:name w:val="Comment Text Char"/>
    <w:basedOn w:val="DefaultParagraphFont"/>
    <w:link w:val="CommentText"/>
    <w:uiPriority w:val="99"/>
    <w:rsid w:val="00F33A55"/>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33A55"/>
    <w:rPr>
      <w:b/>
      <w:bCs/>
    </w:rPr>
  </w:style>
  <w:style w:type="character" w:customStyle="1" w:styleId="CommentSubjectChar">
    <w:name w:val="Comment Subject Char"/>
    <w:basedOn w:val="CommentTextChar"/>
    <w:link w:val="CommentSubject"/>
    <w:uiPriority w:val="99"/>
    <w:semiHidden/>
    <w:rsid w:val="00F33A55"/>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F33A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A55"/>
    <w:rPr>
      <w:rFonts w:ascii="Segoe UI" w:eastAsia="Times New Roman" w:hAnsi="Segoe UI" w:cs="Segoe UI"/>
      <w:sz w:val="18"/>
      <w:szCs w:val="18"/>
      <w:lang w:eastAsia="lv-LV"/>
    </w:rPr>
  </w:style>
  <w:style w:type="paragraph" w:customStyle="1" w:styleId="Default">
    <w:name w:val="Default"/>
    <w:rsid w:val="007B2631"/>
    <w:pPr>
      <w:autoSpaceDE w:val="0"/>
      <w:autoSpaceDN w:val="0"/>
      <w:adjustRightInd w:val="0"/>
      <w:spacing w:after="0" w:line="240" w:lineRule="auto"/>
    </w:pPr>
    <w:rPr>
      <w:rFonts w:ascii="EUAlbertina" w:hAnsi="EUAlbertina" w:cs="EUAlbertina"/>
      <w:color w:val="000000"/>
      <w:sz w:val="24"/>
      <w:szCs w:val="24"/>
    </w:rPr>
  </w:style>
  <w:style w:type="paragraph" w:styleId="FootnoteText">
    <w:name w:val="footnote text"/>
    <w:basedOn w:val="Normal"/>
    <w:link w:val="FootnoteTextChar"/>
    <w:uiPriority w:val="99"/>
    <w:semiHidden/>
    <w:unhideWhenUsed/>
    <w:rsid w:val="009C3335"/>
    <w:rPr>
      <w:sz w:val="20"/>
      <w:szCs w:val="20"/>
      <w:lang w:eastAsia="en-US"/>
    </w:rPr>
  </w:style>
  <w:style w:type="character" w:customStyle="1" w:styleId="FootnoteTextChar">
    <w:name w:val="Footnote Text Char"/>
    <w:basedOn w:val="DefaultParagraphFont"/>
    <w:link w:val="FootnoteText"/>
    <w:uiPriority w:val="99"/>
    <w:semiHidden/>
    <w:rsid w:val="009C3335"/>
    <w:rPr>
      <w:rFonts w:ascii="Times New Roman" w:eastAsia="Times New Roman" w:hAnsi="Times New Roman" w:cs="Times New Roman"/>
      <w:sz w:val="20"/>
      <w:szCs w:val="20"/>
    </w:rPr>
  </w:style>
  <w:style w:type="character" w:styleId="FootnoteReference">
    <w:name w:val="footnote reference"/>
    <w:uiPriority w:val="99"/>
    <w:semiHidden/>
    <w:unhideWhenUsed/>
    <w:rsid w:val="009C3335"/>
    <w:rPr>
      <w:shd w:val="clear" w:color="auto" w:fill="auto"/>
      <w:vertAlign w:val="superscript"/>
    </w:rPr>
  </w:style>
  <w:style w:type="paragraph" w:styleId="BodyText2">
    <w:name w:val="Body Text 2"/>
    <w:basedOn w:val="Normal"/>
    <w:link w:val="BodyText2Char"/>
    <w:rsid w:val="009C3335"/>
    <w:pPr>
      <w:jc w:val="both"/>
    </w:pPr>
    <w:rPr>
      <w:b/>
      <w:bCs/>
      <w:color w:val="000000"/>
    </w:rPr>
  </w:style>
  <w:style w:type="character" w:customStyle="1" w:styleId="BodyText2Char">
    <w:name w:val="Body Text 2 Char"/>
    <w:basedOn w:val="DefaultParagraphFont"/>
    <w:link w:val="BodyText2"/>
    <w:rsid w:val="009C3335"/>
    <w:rPr>
      <w:rFonts w:ascii="Times New Roman" w:eastAsia="Times New Roman" w:hAnsi="Times New Roman" w:cs="Times New Roman"/>
      <w:b/>
      <w:bCs/>
      <w:color w:val="000000"/>
      <w:sz w:val="24"/>
      <w:szCs w:val="24"/>
      <w:lang w:eastAsia="lv-LV"/>
    </w:rPr>
  </w:style>
  <w:style w:type="character" w:customStyle="1" w:styleId="Heading3Char">
    <w:name w:val="Heading 3 Char"/>
    <w:basedOn w:val="DefaultParagraphFont"/>
    <w:link w:val="Heading3"/>
    <w:uiPriority w:val="9"/>
    <w:rsid w:val="0046589A"/>
    <w:rPr>
      <w:rFonts w:ascii="Times New Roman" w:eastAsia="Times New Roman" w:hAnsi="Times New Roman" w:cs="Times New Roman"/>
      <w:b/>
      <w:bCs/>
      <w:sz w:val="27"/>
      <w:szCs w:val="27"/>
      <w:lang w:eastAsia="lv-LV"/>
    </w:rPr>
  </w:style>
  <w:style w:type="paragraph" w:styleId="ListParagraph">
    <w:name w:val="List Paragraph"/>
    <w:aliases w:val="Syle 1,2,List Paragraph1,Strip,virsraksts3,Numbered Para 1,Dot pt,No Spacing1,List Paragraph Char Char Char,Indicator Text,Bullet 1,Bullet Points,MAIN CONTENT,IFCL - List Paragraph,List Paragraph12,OBC Bullet,F5 List Paragraph,リスト段,LP1"/>
    <w:basedOn w:val="Normal"/>
    <w:link w:val="ListParagraphChar"/>
    <w:uiPriority w:val="34"/>
    <w:qFormat/>
    <w:rsid w:val="00903596"/>
    <w:pPr>
      <w:ind w:left="720"/>
      <w:contextualSpacing/>
    </w:pPr>
  </w:style>
  <w:style w:type="paragraph" w:styleId="Header">
    <w:name w:val="header"/>
    <w:basedOn w:val="Normal"/>
    <w:link w:val="HeaderChar"/>
    <w:uiPriority w:val="99"/>
    <w:unhideWhenUsed/>
    <w:rsid w:val="0056382D"/>
    <w:pPr>
      <w:tabs>
        <w:tab w:val="center" w:pos="4153"/>
        <w:tab w:val="right" w:pos="8306"/>
      </w:tabs>
    </w:pPr>
  </w:style>
  <w:style w:type="character" w:customStyle="1" w:styleId="HeaderChar">
    <w:name w:val="Header Char"/>
    <w:basedOn w:val="DefaultParagraphFont"/>
    <w:link w:val="Header"/>
    <w:uiPriority w:val="99"/>
    <w:rsid w:val="0056382D"/>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56382D"/>
    <w:pPr>
      <w:tabs>
        <w:tab w:val="center" w:pos="4153"/>
        <w:tab w:val="right" w:pos="8306"/>
      </w:tabs>
    </w:pPr>
  </w:style>
  <w:style w:type="character" w:customStyle="1" w:styleId="FooterChar">
    <w:name w:val="Footer Char"/>
    <w:basedOn w:val="DefaultParagraphFont"/>
    <w:link w:val="Footer"/>
    <w:uiPriority w:val="99"/>
    <w:rsid w:val="0056382D"/>
    <w:rPr>
      <w:rFonts w:ascii="Times New Roman" w:eastAsia="Times New Roman" w:hAnsi="Times New Roman" w:cs="Times New Roman"/>
      <w:sz w:val="24"/>
      <w:szCs w:val="24"/>
      <w:lang w:eastAsia="lv-LV"/>
    </w:rPr>
  </w:style>
  <w:style w:type="paragraph" w:styleId="Revision">
    <w:name w:val="Revision"/>
    <w:hidden/>
    <w:uiPriority w:val="99"/>
    <w:semiHidden/>
    <w:rsid w:val="003F7A86"/>
    <w:pPr>
      <w:spacing w:after="0" w:line="240" w:lineRule="auto"/>
    </w:pPr>
    <w:rPr>
      <w:rFonts w:ascii="Times New Roman" w:eastAsia="Times New Roman" w:hAnsi="Times New Roman" w:cs="Times New Roman"/>
      <w:sz w:val="24"/>
      <w:szCs w:val="24"/>
      <w:lang w:eastAsia="lv-LV"/>
    </w:rPr>
  </w:style>
  <w:style w:type="paragraph" w:customStyle="1" w:styleId="doc-ti1">
    <w:name w:val="doc-ti1"/>
    <w:basedOn w:val="Normal"/>
    <w:rsid w:val="00335DD7"/>
    <w:pPr>
      <w:spacing w:before="240" w:after="120" w:line="312" w:lineRule="atLeast"/>
      <w:jc w:val="center"/>
    </w:pPr>
    <w:rPr>
      <w:b/>
      <w:bCs/>
    </w:rPr>
  </w:style>
  <w:style w:type="character" w:styleId="FollowedHyperlink">
    <w:name w:val="FollowedHyperlink"/>
    <w:basedOn w:val="DefaultParagraphFont"/>
    <w:uiPriority w:val="99"/>
    <w:semiHidden/>
    <w:unhideWhenUsed/>
    <w:rsid w:val="003C5EDC"/>
    <w:rPr>
      <w:color w:val="800080" w:themeColor="followedHyperlink"/>
      <w:u w:val="single"/>
    </w:rPr>
  </w:style>
  <w:style w:type="table" w:styleId="TableGrid">
    <w:name w:val="Table Grid"/>
    <w:basedOn w:val="TableNormal"/>
    <w:uiPriority w:val="59"/>
    <w:rsid w:val="00FE76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2">
    <w:name w:val="tv2132"/>
    <w:basedOn w:val="Normal"/>
    <w:rsid w:val="00A27700"/>
    <w:pPr>
      <w:spacing w:line="360" w:lineRule="auto"/>
      <w:ind w:firstLine="300"/>
    </w:pPr>
    <w:rPr>
      <w:color w:val="414142"/>
      <w:sz w:val="20"/>
      <w:szCs w:val="20"/>
    </w:rPr>
  </w:style>
  <w:style w:type="character" w:customStyle="1" w:styleId="ListParagraphChar">
    <w:name w:val="List Paragraph Char"/>
    <w:aliases w:val="Syle 1 Char,2 Char,List Paragraph1 Char,Strip Char,virsraksts3 Char,Numbered Para 1 Char,Dot pt Char,No Spacing1 Char,List Paragraph Char Char Char Char,Indicator Text Char,Bullet 1 Char,Bullet Points Char,MAIN CONTENT Char,リスト段 Char"/>
    <w:link w:val="ListParagraph"/>
    <w:uiPriority w:val="1"/>
    <w:qFormat/>
    <w:locked/>
    <w:rsid w:val="000C4C70"/>
    <w:rPr>
      <w:rFonts w:ascii="Times New Roman" w:eastAsia="Times New Roman" w:hAnsi="Times New Roman" w:cs="Times New Roman"/>
      <w:sz w:val="24"/>
      <w:szCs w:val="24"/>
      <w:lang w:eastAsia="lv-LV"/>
    </w:rPr>
  </w:style>
  <w:style w:type="paragraph" w:styleId="NoSpacing">
    <w:name w:val="No Spacing"/>
    <w:uiPriority w:val="1"/>
    <w:qFormat/>
    <w:rsid w:val="00BA654C"/>
    <w:pPr>
      <w:widowControl w:val="0"/>
      <w:spacing w:after="0" w:line="240" w:lineRule="auto"/>
    </w:pPr>
    <w:rPr>
      <w:rFonts w:ascii="Calibri" w:eastAsia="MS Mincho" w:hAnsi="Calibri" w:cs="Times New Roman"/>
      <w:lang w:val="en-US"/>
    </w:rPr>
  </w:style>
  <w:style w:type="paragraph" w:customStyle="1" w:styleId="Body">
    <w:name w:val="Body"/>
    <w:rsid w:val="0050236C"/>
    <w:pPr>
      <w:pBdr>
        <w:top w:val="nil"/>
        <w:left w:val="nil"/>
        <w:bottom w:val="nil"/>
        <w:right w:val="nil"/>
        <w:between w:val="nil"/>
        <w:bar w:val="nil"/>
      </w:pBdr>
    </w:pPr>
    <w:rPr>
      <w:rFonts w:ascii="Calibri" w:eastAsia="Arial Unicode MS" w:hAnsi="Calibri" w:cs="Arial Unicode MS"/>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50009">
      <w:bodyDiv w:val="1"/>
      <w:marLeft w:val="0"/>
      <w:marRight w:val="0"/>
      <w:marTop w:val="0"/>
      <w:marBottom w:val="0"/>
      <w:divBdr>
        <w:top w:val="none" w:sz="0" w:space="0" w:color="auto"/>
        <w:left w:val="none" w:sz="0" w:space="0" w:color="auto"/>
        <w:bottom w:val="none" w:sz="0" w:space="0" w:color="auto"/>
        <w:right w:val="none" w:sz="0" w:space="0" w:color="auto"/>
      </w:divBdr>
      <w:divsChild>
        <w:div w:id="1814638458">
          <w:marLeft w:val="0"/>
          <w:marRight w:val="0"/>
          <w:marTop w:val="0"/>
          <w:marBottom w:val="0"/>
          <w:divBdr>
            <w:top w:val="none" w:sz="0" w:space="0" w:color="auto"/>
            <w:left w:val="none" w:sz="0" w:space="0" w:color="auto"/>
            <w:bottom w:val="none" w:sz="0" w:space="0" w:color="auto"/>
            <w:right w:val="none" w:sz="0" w:space="0" w:color="auto"/>
          </w:divBdr>
          <w:divsChild>
            <w:div w:id="871649829">
              <w:marLeft w:val="0"/>
              <w:marRight w:val="0"/>
              <w:marTop w:val="0"/>
              <w:marBottom w:val="0"/>
              <w:divBdr>
                <w:top w:val="none" w:sz="0" w:space="0" w:color="auto"/>
                <w:left w:val="none" w:sz="0" w:space="0" w:color="auto"/>
                <w:bottom w:val="none" w:sz="0" w:space="0" w:color="auto"/>
                <w:right w:val="none" w:sz="0" w:space="0" w:color="auto"/>
              </w:divBdr>
              <w:divsChild>
                <w:div w:id="605889700">
                  <w:marLeft w:val="0"/>
                  <w:marRight w:val="0"/>
                  <w:marTop w:val="0"/>
                  <w:marBottom w:val="0"/>
                  <w:divBdr>
                    <w:top w:val="none" w:sz="0" w:space="0" w:color="auto"/>
                    <w:left w:val="none" w:sz="0" w:space="0" w:color="auto"/>
                    <w:bottom w:val="none" w:sz="0" w:space="0" w:color="auto"/>
                    <w:right w:val="none" w:sz="0" w:space="0" w:color="auto"/>
                  </w:divBdr>
                  <w:divsChild>
                    <w:div w:id="1149398725">
                      <w:marLeft w:val="0"/>
                      <w:marRight w:val="0"/>
                      <w:marTop w:val="0"/>
                      <w:marBottom w:val="0"/>
                      <w:divBdr>
                        <w:top w:val="none" w:sz="0" w:space="0" w:color="auto"/>
                        <w:left w:val="none" w:sz="0" w:space="0" w:color="auto"/>
                        <w:bottom w:val="none" w:sz="0" w:space="0" w:color="auto"/>
                        <w:right w:val="none" w:sz="0" w:space="0" w:color="auto"/>
                      </w:divBdr>
                      <w:divsChild>
                        <w:div w:id="120541176">
                          <w:marLeft w:val="0"/>
                          <w:marRight w:val="0"/>
                          <w:marTop w:val="0"/>
                          <w:marBottom w:val="0"/>
                          <w:divBdr>
                            <w:top w:val="none" w:sz="0" w:space="0" w:color="auto"/>
                            <w:left w:val="none" w:sz="0" w:space="0" w:color="auto"/>
                            <w:bottom w:val="none" w:sz="0" w:space="0" w:color="auto"/>
                            <w:right w:val="none" w:sz="0" w:space="0" w:color="auto"/>
                          </w:divBdr>
                          <w:divsChild>
                            <w:div w:id="18905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665608">
      <w:bodyDiv w:val="1"/>
      <w:marLeft w:val="0"/>
      <w:marRight w:val="0"/>
      <w:marTop w:val="0"/>
      <w:marBottom w:val="0"/>
      <w:divBdr>
        <w:top w:val="none" w:sz="0" w:space="0" w:color="auto"/>
        <w:left w:val="none" w:sz="0" w:space="0" w:color="auto"/>
        <w:bottom w:val="none" w:sz="0" w:space="0" w:color="auto"/>
        <w:right w:val="none" w:sz="0" w:space="0" w:color="auto"/>
      </w:divBdr>
    </w:div>
    <w:div w:id="767195902">
      <w:bodyDiv w:val="1"/>
      <w:marLeft w:val="0"/>
      <w:marRight w:val="0"/>
      <w:marTop w:val="0"/>
      <w:marBottom w:val="0"/>
      <w:divBdr>
        <w:top w:val="none" w:sz="0" w:space="0" w:color="auto"/>
        <w:left w:val="none" w:sz="0" w:space="0" w:color="auto"/>
        <w:bottom w:val="none" w:sz="0" w:space="0" w:color="auto"/>
        <w:right w:val="none" w:sz="0" w:space="0" w:color="auto"/>
      </w:divBdr>
    </w:div>
    <w:div w:id="878249759">
      <w:bodyDiv w:val="1"/>
      <w:marLeft w:val="0"/>
      <w:marRight w:val="0"/>
      <w:marTop w:val="0"/>
      <w:marBottom w:val="0"/>
      <w:divBdr>
        <w:top w:val="none" w:sz="0" w:space="0" w:color="auto"/>
        <w:left w:val="none" w:sz="0" w:space="0" w:color="auto"/>
        <w:bottom w:val="none" w:sz="0" w:space="0" w:color="auto"/>
        <w:right w:val="none" w:sz="0" w:space="0" w:color="auto"/>
      </w:divBdr>
      <w:divsChild>
        <w:div w:id="1733967531">
          <w:marLeft w:val="547"/>
          <w:marRight w:val="0"/>
          <w:marTop w:val="86"/>
          <w:marBottom w:val="0"/>
          <w:divBdr>
            <w:top w:val="none" w:sz="0" w:space="0" w:color="auto"/>
            <w:left w:val="none" w:sz="0" w:space="0" w:color="auto"/>
            <w:bottom w:val="none" w:sz="0" w:space="0" w:color="auto"/>
            <w:right w:val="none" w:sz="0" w:space="0" w:color="auto"/>
          </w:divBdr>
        </w:div>
      </w:divsChild>
    </w:div>
    <w:div w:id="1153327487">
      <w:bodyDiv w:val="1"/>
      <w:marLeft w:val="0"/>
      <w:marRight w:val="0"/>
      <w:marTop w:val="0"/>
      <w:marBottom w:val="0"/>
      <w:divBdr>
        <w:top w:val="none" w:sz="0" w:space="0" w:color="auto"/>
        <w:left w:val="none" w:sz="0" w:space="0" w:color="auto"/>
        <w:bottom w:val="none" w:sz="0" w:space="0" w:color="auto"/>
        <w:right w:val="none" w:sz="0" w:space="0" w:color="auto"/>
      </w:divBdr>
    </w:div>
    <w:div w:id="1454978307">
      <w:bodyDiv w:val="1"/>
      <w:marLeft w:val="0"/>
      <w:marRight w:val="0"/>
      <w:marTop w:val="0"/>
      <w:marBottom w:val="0"/>
      <w:divBdr>
        <w:top w:val="none" w:sz="0" w:space="0" w:color="auto"/>
        <w:left w:val="none" w:sz="0" w:space="0" w:color="auto"/>
        <w:bottom w:val="none" w:sz="0" w:space="0" w:color="auto"/>
        <w:right w:val="none" w:sz="0" w:space="0" w:color="auto"/>
      </w:divBdr>
    </w:div>
    <w:div w:id="1492942701">
      <w:bodyDiv w:val="1"/>
      <w:marLeft w:val="0"/>
      <w:marRight w:val="0"/>
      <w:marTop w:val="0"/>
      <w:marBottom w:val="0"/>
      <w:divBdr>
        <w:top w:val="none" w:sz="0" w:space="0" w:color="auto"/>
        <w:left w:val="none" w:sz="0" w:space="0" w:color="auto"/>
        <w:bottom w:val="none" w:sz="0" w:space="0" w:color="auto"/>
        <w:right w:val="none" w:sz="0" w:space="0" w:color="auto"/>
      </w:divBdr>
      <w:divsChild>
        <w:div w:id="1312370106">
          <w:marLeft w:val="0"/>
          <w:marRight w:val="0"/>
          <w:marTop w:val="0"/>
          <w:marBottom w:val="0"/>
          <w:divBdr>
            <w:top w:val="none" w:sz="0" w:space="0" w:color="auto"/>
            <w:left w:val="none" w:sz="0" w:space="0" w:color="auto"/>
            <w:bottom w:val="none" w:sz="0" w:space="0" w:color="auto"/>
            <w:right w:val="none" w:sz="0" w:space="0" w:color="auto"/>
          </w:divBdr>
          <w:divsChild>
            <w:div w:id="1138835362">
              <w:marLeft w:val="0"/>
              <w:marRight w:val="0"/>
              <w:marTop w:val="0"/>
              <w:marBottom w:val="0"/>
              <w:divBdr>
                <w:top w:val="none" w:sz="0" w:space="0" w:color="auto"/>
                <w:left w:val="none" w:sz="0" w:space="0" w:color="auto"/>
                <w:bottom w:val="none" w:sz="0" w:space="0" w:color="auto"/>
                <w:right w:val="none" w:sz="0" w:space="0" w:color="auto"/>
              </w:divBdr>
              <w:divsChild>
                <w:div w:id="634214745">
                  <w:marLeft w:val="0"/>
                  <w:marRight w:val="0"/>
                  <w:marTop w:val="0"/>
                  <w:marBottom w:val="0"/>
                  <w:divBdr>
                    <w:top w:val="none" w:sz="0" w:space="0" w:color="auto"/>
                    <w:left w:val="none" w:sz="0" w:space="0" w:color="auto"/>
                    <w:bottom w:val="none" w:sz="0" w:space="0" w:color="auto"/>
                    <w:right w:val="none" w:sz="0" w:space="0" w:color="auto"/>
                  </w:divBdr>
                  <w:divsChild>
                    <w:div w:id="2063358656">
                      <w:marLeft w:val="-150"/>
                      <w:marRight w:val="-150"/>
                      <w:marTop w:val="0"/>
                      <w:marBottom w:val="0"/>
                      <w:divBdr>
                        <w:top w:val="none" w:sz="0" w:space="0" w:color="auto"/>
                        <w:left w:val="none" w:sz="0" w:space="0" w:color="auto"/>
                        <w:bottom w:val="none" w:sz="0" w:space="0" w:color="auto"/>
                        <w:right w:val="none" w:sz="0" w:space="0" w:color="auto"/>
                      </w:divBdr>
                      <w:divsChild>
                        <w:div w:id="1325545059">
                          <w:marLeft w:val="0"/>
                          <w:marRight w:val="0"/>
                          <w:marTop w:val="0"/>
                          <w:marBottom w:val="0"/>
                          <w:divBdr>
                            <w:top w:val="none" w:sz="0" w:space="0" w:color="auto"/>
                            <w:left w:val="none" w:sz="0" w:space="0" w:color="auto"/>
                            <w:bottom w:val="none" w:sz="0" w:space="0" w:color="auto"/>
                            <w:right w:val="none" w:sz="0" w:space="0" w:color="auto"/>
                          </w:divBdr>
                          <w:divsChild>
                            <w:div w:id="1240137840">
                              <w:marLeft w:val="0"/>
                              <w:marRight w:val="0"/>
                              <w:marTop w:val="0"/>
                              <w:marBottom w:val="0"/>
                              <w:divBdr>
                                <w:top w:val="none" w:sz="0" w:space="0" w:color="auto"/>
                                <w:left w:val="none" w:sz="0" w:space="0" w:color="auto"/>
                                <w:bottom w:val="none" w:sz="0" w:space="0" w:color="auto"/>
                                <w:right w:val="none" w:sz="0" w:space="0" w:color="auto"/>
                              </w:divBdr>
                              <w:divsChild>
                                <w:div w:id="1951813126">
                                  <w:marLeft w:val="0"/>
                                  <w:marRight w:val="0"/>
                                  <w:marTop w:val="0"/>
                                  <w:marBottom w:val="300"/>
                                  <w:divBdr>
                                    <w:top w:val="none" w:sz="0" w:space="0" w:color="auto"/>
                                    <w:left w:val="none" w:sz="0" w:space="0" w:color="auto"/>
                                    <w:bottom w:val="none" w:sz="0" w:space="0" w:color="auto"/>
                                    <w:right w:val="none" w:sz="0" w:space="0" w:color="auto"/>
                                  </w:divBdr>
                                  <w:divsChild>
                                    <w:div w:id="530537655">
                                      <w:marLeft w:val="0"/>
                                      <w:marRight w:val="0"/>
                                      <w:marTop w:val="0"/>
                                      <w:marBottom w:val="0"/>
                                      <w:divBdr>
                                        <w:top w:val="none" w:sz="0" w:space="0" w:color="auto"/>
                                        <w:left w:val="none" w:sz="0" w:space="0" w:color="auto"/>
                                        <w:bottom w:val="none" w:sz="0" w:space="0" w:color="auto"/>
                                        <w:right w:val="none" w:sz="0" w:space="0" w:color="auto"/>
                                      </w:divBdr>
                                      <w:divsChild>
                                        <w:div w:id="1418985736">
                                          <w:marLeft w:val="0"/>
                                          <w:marRight w:val="0"/>
                                          <w:marTop w:val="0"/>
                                          <w:marBottom w:val="0"/>
                                          <w:divBdr>
                                            <w:top w:val="none" w:sz="0" w:space="0" w:color="auto"/>
                                            <w:left w:val="none" w:sz="0" w:space="0" w:color="auto"/>
                                            <w:bottom w:val="none" w:sz="0" w:space="0" w:color="auto"/>
                                            <w:right w:val="none" w:sz="0" w:space="0" w:color="auto"/>
                                          </w:divBdr>
                                          <w:divsChild>
                                            <w:div w:id="1435436705">
                                              <w:marLeft w:val="0"/>
                                              <w:marRight w:val="0"/>
                                              <w:marTop w:val="0"/>
                                              <w:marBottom w:val="0"/>
                                              <w:divBdr>
                                                <w:top w:val="none" w:sz="0" w:space="0" w:color="auto"/>
                                                <w:left w:val="none" w:sz="0" w:space="0" w:color="auto"/>
                                                <w:bottom w:val="none" w:sz="0" w:space="0" w:color="auto"/>
                                                <w:right w:val="none" w:sz="0" w:space="0" w:color="auto"/>
                                              </w:divBdr>
                                              <w:divsChild>
                                                <w:div w:id="83846583">
                                                  <w:marLeft w:val="0"/>
                                                  <w:marRight w:val="0"/>
                                                  <w:marTop w:val="0"/>
                                                  <w:marBottom w:val="0"/>
                                                  <w:divBdr>
                                                    <w:top w:val="none" w:sz="0" w:space="0" w:color="auto"/>
                                                    <w:left w:val="none" w:sz="0" w:space="0" w:color="auto"/>
                                                    <w:bottom w:val="none" w:sz="0" w:space="0" w:color="auto"/>
                                                    <w:right w:val="none" w:sz="0" w:space="0" w:color="auto"/>
                                                  </w:divBdr>
                                                  <w:divsChild>
                                                    <w:div w:id="1815828019">
                                                      <w:marLeft w:val="0"/>
                                                      <w:marRight w:val="0"/>
                                                      <w:marTop w:val="0"/>
                                                      <w:marBottom w:val="0"/>
                                                      <w:divBdr>
                                                        <w:top w:val="none" w:sz="0" w:space="0" w:color="auto"/>
                                                        <w:left w:val="none" w:sz="0" w:space="0" w:color="auto"/>
                                                        <w:bottom w:val="none" w:sz="0" w:space="0" w:color="auto"/>
                                                        <w:right w:val="none" w:sz="0" w:space="0" w:color="auto"/>
                                                      </w:divBdr>
                                                      <w:divsChild>
                                                        <w:div w:id="434667168">
                                                          <w:marLeft w:val="0"/>
                                                          <w:marRight w:val="0"/>
                                                          <w:marTop w:val="0"/>
                                                          <w:marBottom w:val="0"/>
                                                          <w:divBdr>
                                                            <w:top w:val="none" w:sz="0" w:space="0" w:color="auto"/>
                                                            <w:left w:val="none" w:sz="0" w:space="0" w:color="auto"/>
                                                            <w:bottom w:val="none" w:sz="0" w:space="0" w:color="auto"/>
                                                            <w:right w:val="none" w:sz="0" w:space="0" w:color="auto"/>
                                                          </w:divBdr>
                                                          <w:divsChild>
                                                            <w:div w:id="233515025">
                                                              <w:marLeft w:val="0"/>
                                                              <w:marRight w:val="0"/>
                                                              <w:marTop w:val="0"/>
                                                              <w:marBottom w:val="0"/>
                                                              <w:divBdr>
                                                                <w:top w:val="none" w:sz="0" w:space="0" w:color="auto"/>
                                                                <w:left w:val="none" w:sz="0" w:space="0" w:color="auto"/>
                                                                <w:bottom w:val="none" w:sz="0" w:space="0" w:color="auto"/>
                                                                <w:right w:val="none" w:sz="0" w:space="0" w:color="auto"/>
                                                              </w:divBdr>
                                                              <w:divsChild>
                                                                <w:div w:id="158433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6158632">
      <w:bodyDiv w:val="1"/>
      <w:marLeft w:val="0"/>
      <w:marRight w:val="0"/>
      <w:marTop w:val="0"/>
      <w:marBottom w:val="0"/>
      <w:divBdr>
        <w:top w:val="none" w:sz="0" w:space="0" w:color="auto"/>
        <w:left w:val="none" w:sz="0" w:space="0" w:color="auto"/>
        <w:bottom w:val="none" w:sz="0" w:space="0" w:color="auto"/>
        <w:right w:val="none" w:sz="0" w:space="0" w:color="auto"/>
      </w:divBdr>
      <w:divsChild>
        <w:div w:id="615258624">
          <w:marLeft w:val="0"/>
          <w:marRight w:val="0"/>
          <w:marTop w:val="0"/>
          <w:marBottom w:val="0"/>
          <w:divBdr>
            <w:top w:val="none" w:sz="0" w:space="0" w:color="auto"/>
            <w:left w:val="none" w:sz="0" w:space="0" w:color="auto"/>
            <w:bottom w:val="none" w:sz="0" w:space="0" w:color="auto"/>
            <w:right w:val="none" w:sz="0" w:space="0" w:color="auto"/>
          </w:divBdr>
          <w:divsChild>
            <w:div w:id="461657352">
              <w:marLeft w:val="0"/>
              <w:marRight w:val="0"/>
              <w:marTop w:val="0"/>
              <w:marBottom w:val="0"/>
              <w:divBdr>
                <w:top w:val="none" w:sz="0" w:space="0" w:color="auto"/>
                <w:left w:val="none" w:sz="0" w:space="0" w:color="auto"/>
                <w:bottom w:val="none" w:sz="0" w:space="0" w:color="auto"/>
                <w:right w:val="none" w:sz="0" w:space="0" w:color="auto"/>
              </w:divBdr>
              <w:divsChild>
                <w:div w:id="1761023822">
                  <w:marLeft w:val="0"/>
                  <w:marRight w:val="0"/>
                  <w:marTop w:val="0"/>
                  <w:marBottom w:val="0"/>
                  <w:divBdr>
                    <w:top w:val="none" w:sz="0" w:space="0" w:color="auto"/>
                    <w:left w:val="none" w:sz="0" w:space="0" w:color="auto"/>
                    <w:bottom w:val="none" w:sz="0" w:space="0" w:color="auto"/>
                    <w:right w:val="none" w:sz="0" w:space="0" w:color="auto"/>
                  </w:divBdr>
                  <w:divsChild>
                    <w:div w:id="826364132">
                      <w:marLeft w:val="-150"/>
                      <w:marRight w:val="-150"/>
                      <w:marTop w:val="0"/>
                      <w:marBottom w:val="0"/>
                      <w:divBdr>
                        <w:top w:val="none" w:sz="0" w:space="0" w:color="auto"/>
                        <w:left w:val="none" w:sz="0" w:space="0" w:color="auto"/>
                        <w:bottom w:val="none" w:sz="0" w:space="0" w:color="auto"/>
                        <w:right w:val="none" w:sz="0" w:space="0" w:color="auto"/>
                      </w:divBdr>
                      <w:divsChild>
                        <w:div w:id="1346978588">
                          <w:marLeft w:val="0"/>
                          <w:marRight w:val="0"/>
                          <w:marTop w:val="0"/>
                          <w:marBottom w:val="0"/>
                          <w:divBdr>
                            <w:top w:val="none" w:sz="0" w:space="0" w:color="auto"/>
                            <w:left w:val="none" w:sz="0" w:space="0" w:color="auto"/>
                            <w:bottom w:val="none" w:sz="0" w:space="0" w:color="auto"/>
                            <w:right w:val="none" w:sz="0" w:space="0" w:color="auto"/>
                          </w:divBdr>
                          <w:divsChild>
                            <w:div w:id="2127772395">
                              <w:marLeft w:val="0"/>
                              <w:marRight w:val="0"/>
                              <w:marTop w:val="0"/>
                              <w:marBottom w:val="0"/>
                              <w:divBdr>
                                <w:top w:val="none" w:sz="0" w:space="0" w:color="auto"/>
                                <w:left w:val="none" w:sz="0" w:space="0" w:color="auto"/>
                                <w:bottom w:val="none" w:sz="0" w:space="0" w:color="auto"/>
                                <w:right w:val="none" w:sz="0" w:space="0" w:color="auto"/>
                              </w:divBdr>
                              <w:divsChild>
                                <w:div w:id="139461749">
                                  <w:marLeft w:val="0"/>
                                  <w:marRight w:val="0"/>
                                  <w:marTop w:val="0"/>
                                  <w:marBottom w:val="300"/>
                                  <w:divBdr>
                                    <w:top w:val="none" w:sz="0" w:space="0" w:color="auto"/>
                                    <w:left w:val="none" w:sz="0" w:space="0" w:color="auto"/>
                                    <w:bottom w:val="none" w:sz="0" w:space="0" w:color="auto"/>
                                    <w:right w:val="none" w:sz="0" w:space="0" w:color="auto"/>
                                  </w:divBdr>
                                  <w:divsChild>
                                    <w:div w:id="2019772771">
                                      <w:marLeft w:val="0"/>
                                      <w:marRight w:val="0"/>
                                      <w:marTop w:val="0"/>
                                      <w:marBottom w:val="0"/>
                                      <w:divBdr>
                                        <w:top w:val="none" w:sz="0" w:space="0" w:color="auto"/>
                                        <w:left w:val="none" w:sz="0" w:space="0" w:color="auto"/>
                                        <w:bottom w:val="none" w:sz="0" w:space="0" w:color="auto"/>
                                        <w:right w:val="none" w:sz="0" w:space="0" w:color="auto"/>
                                      </w:divBdr>
                                      <w:divsChild>
                                        <w:div w:id="1249080455">
                                          <w:marLeft w:val="0"/>
                                          <w:marRight w:val="0"/>
                                          <w:marTop w:val="0"/>
                                          <w:marBottom w:val="0"/>
                                          <w:divBdr>
                                            <w:top w:val="none" w:sz="0" w:space="0" w:color="auto"/>
                                            <w:left w:val="none" w:sz="0" w:space="0" w:color="auto"/>
                                            <w:bottom w:val="none" w:sz="0" w:space="0" w:color="auto"/>
                                            <w:right w:val="none" w:sz="0" w:space="0" w:color="auto"/>
                                          </w:divBdr>
                                          <w:divsChild>
                                            <w:div w:id="879898262">
                                              <w:marLeft w:val="0"/>
                                              <w:marRight w:val="0"/>
                                              <w:marTop w:val="0"/>
                                              <w:marBottom w:val="0"/>
                                              <w:divBdr>
                                                <w:top w:val="none" w:sz="0" w:space="0" w:color="auto"/>
                                                <w:left w:val="none" w:sz="0" w:space="0" w:color="auto"/>
                                                <w:bottom w:val="none" w:sz="0" w:space="0" w:color="auto"/>
                                                <w:right w:val="none" w:sz="0" w:space="0" w:color="auto"/>
                                              </w:divBdr>
                                              <w:divsChild>
                                                <w:div w:id="412825091">
                                                  <w:marLeft w:val="0"/>
                                                  <w:marRight w:val="0"/>
                                                  <w:marTop w:val="0"/>
                                                  <w:marBottom w:val="0"/>
                                                  <w:divBdr>
                                                    <w:top w:val="none" w:sz="0" w:space="0" w:color="auto"/>
                                                    <w:left w:val="none" w:sz="0" w:space="0" w:color="auto"/>
                                                    <w:bottom w:val="none" w:sz="0" w:space="0" w:color="auto"/>
                                                    <w:right w:val="none" w:sz="0" w:space="0" w:color="auto"/>
                                                  </w:divBdr>
                                                  <w:divsChild>
                                                    <w:div w:id="398285134">
                                                      <w:marLeft w:val="0"/>
                                                      <w:marRight w:val="0"/>
                                                      <w:marTop w:val="0"/>
                                                      <w:marBottom w:val="0"/>
                                                      <w:divBdr>
                                                        <w:top w:val="none" w:sz="0" w:space="0" w:color="auto"/>
                                                        <w:left w:val="none" w:sz="0" w:space="0" w:color="auto"/>
                                                        <w:bottom w:val="none" w:sz="0" w:space="0" w:color="auto"/>
                                                        <w:right w:val="none" w:sz="0" w:space="0" w:color="auto"/>
                                                      </w:divBdr>
                                                      <w:divsChild>
                                                        <w:div w:id="2124566180">
                                                          <w:marLeft w:val="0"/>
                                                          <w:marRight w:val="0"/>
                                                          <w:marTop w:val="0"/>
                                                          <w:marBottom w:val="0"/>
                                                          <w:divBdr>
                                                            <w:top w:val="none" w:sz="0" w:space="0" w:color="auto"/>
                                                            <w:left w:val="none" w:sz="0" w:space="0" w:color="auto"/>
                                                            <w:bottom w:val="none" w:sz="0" w:space="0" w:color="auto"/>
                                                            <w:right w:val="none" w:sz="0" w:space="0" w:color="auto"/>
                                                          </w:divBdr>
                                                          <w:divsChild>
                                                            <w:div w:id="1114981601">
                                                              <w:marLeft w:val="0"/>
                                                              <w:marRight w:val="0"/>
                                                              <w:marTop w:val="0"/>
                                                              <w:marBottom w:val="0"/>
                                                              <w:divBdr>
                                                                <w:top w:val="none" w:sz="0" w:space="0" w:color="auto"/>
                                                                <w:left w:val="none" w:sz="0" w:space="0" w:color="auto"/>
                                                                <w:bottom w:val="none" w:sz="0" w:space="0" w:color="auto"/>
                                                                <w:right w:val="none" w:sz="0" w:space="0" w:color="auto"/>
                                                              </w:divBdr>
                                                              <w:divsChild>
                                                                <w:div w:id="195810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likumi.lv/ta/id/253451-pievienotas-vertibas-nodokla-likums" TargetMode="External"/><Relationship Id="rId18" Type="http://schemas.openxmlformats.org/officeDocument/2006/relationships/hyperlink" Target="http://www.fm.gov.lv/lv/sabiedribas_lidzdaliba/tiesibu_aktu_projekti/nodoklu_politik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ikumi.lv/ta/id/253451-pievienotas-vertibas-nodokla-likums" TargetMode="External"/><Relationship Id="rId17" Type="http://schemas.openxmlformats.org/officeDocument/2006/relationships/hyperlink" Target="https://www.mk.gov.lv/content/ministru-kabineta-diskusiju-dokumenti" TargetMode="External"/><Relationship Id="rId2" Type="http://schemas.openxmlformats.org/officeDocument/2006/relationships/numbering" Target="numbering.xml"/><Relationship Id="rId16" Type="http://schemas.openxmlformats.org/officeDocument/2006/relationships/hyperlink" Target="http://www.fm.gov.lv/lv/sabiedribas_lidzdaliba/tiesibu_aktu_projekti/nodoklu_politik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53451-pievienotas-vertibas-nodokla-likums" TargetMode="External"/><Relationship Id="rId5" Type="http://schemas.openxmlformats.org/officeDocument/2006/relationships/webSettings" Target="webSettings.xml"/><Relationship Id="rId15" Type="http://schemas.openxmlformats.org/officeDocument/2006/relationships/hyperlink" Target="http://www.zalabriviba.lv/wp-content/uploads/DepozitaSistemsPetijums_1Apr2019.pdf" TargetMode="External"/><Relationship Id="rId10" Type="http://schemas.openxmlformats.org/officeDocument/2006/relationships/footer" Target="footer2.xml"/><Relationship Id="rId19" Type="http://schemas.openxmlformats.org/officeDocument/2006/relationships/hyperlink" Target="https://www.mk.gov.lv/content/ministru-kabineta-diskusiju-dokument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zalabriviba.lv/wp-content/uploads/DepozitaSistemsPetijums_1Apr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97D5E-1A80-4ECA-AA16-F6EEEF4D0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39931</Words>
  <Characters>22762</Characters>
  <Application>Microsoft Office Word</Application>
  <DocSecurity>0</DocSecurity>
  <Lines>189</Lines>
  <Paragraphs>125</Paragraphs>
  <ScaleCrop>false</ScaleCrop>
  <HeadingPairs>
    <vt:vector size="2" baseType="variant">
      <vt:variant>
        <vt:lpstr>Title</vt:lpstr>
      </vt:variant>
      <vt:variant>
        <vt:i4>1</vt:i4>
      </vt:variant>
    </vt:vector>
  </HeadingPairs>
  <TitlesOfParts>
    <vt:vector size="1" baseType="lpstr">
      <vt:lpstr>Likumprojekta "Grozījumi Pievienotās vērtības nodokļa likumā" sākotnējās ietekmes novērtējuma ziņojums (anotācija)</vt:lpstr>
    </vt:vector>
  </TitlesOfParts>
  <Company>Finanšu ministrija</Company>
  <LinksUpToDate>false</LinksUpToDate>
  <CharactersWithSpaces>62568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Pievienotās vērtības nodokļa likumā" sākotnējās ietekmes novērtējuma ziņojums (anotācija)</dc:title>
  <dc:subject>Anotācija</dc:subject>
  <dc:creator>Diāna Lukjanska</dc:creator>
  <cp:keywords/>
  <dc:description>67095514_x000d_
Diana.Lukjanska@fm.gov.lv</dc:description>
  <cp:lastModifiedBy>Sandra Rocena</cp:lastModifiedBy>
  <cp:revision>5</cp:revision>
  <cp:lastPrinted>2019-09-20T07:36:00Z</cp:lastPrinted>
  <dcterms:created xsi:type="dcterms:W3CDTF">2020-09-30T07:51:00Z</dcterms:created>
  <dcterms:modified xsi:type="dcterms:W3CDTF">2020-10-05T11:06:00Z</dcterms:modified>
  <cp:contentStatus/>
</cp:coreProperties>
</file>